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BC" w:rsidRPr="000D42A3" w:rsidRDefault="00974CE2" w:rsidP="000D42A3">
      <w:pPr>
        <w:pStyle w:val="2"/>
      </w:pPr>
      <w:r w:rsidRPr="000D42A3">
        <w:t>南方医科大学中西医结合医院</w:t>
      </w:r>
      <w:r w:rsidR="001A28C1" w:rsidRPr="001A28C1">
        <w:rPr>
          <w:rFonts w:hint="eastAsia"/>
        </w:rPr>
        <w:t>2025年-2027年</w:t>
      </w:r>
      <w:r w:rsidRPr="000D42A3">
        <w:t>污水处理站专业化管理服务方案</w:t>
      </w:r>
    </w:p>
    <w:p w:rsidR="000D42A3" w:rsidRDefault="000D42A3">
      <w:pPr>
        <w:pStyle w:val="a4"/>
        <w:widowControl/>
        <w:spacing w:beforeAutospacing="0" w:afterAutospacing="0" w:line="480" w:lineRule="auto"/>
        <w:ind w:firstLine="420"/>
        <w:rPr>
          <w:rStyle w:val="a5"/>
          <w:rFonts w:ascii="Microsoft YaHei UI" w:eastAsia="Microsoft YaHei UI" w:hAnsi="Microsoft YaHei UI" w:cs="Microsoft YaHei UI"/>
          <w:bCs/>
          <w:shd w:val="clear" w:color="auto" w:fill="FFFFFF"/>
        </w:rPr>
      </w:pPr>
    </w:p>
    <w:p w:rsidR="00302BBC" w:rsidRPr="000D42A3" w:rsidRDefault="000D42A3">
      <w:pPr>
        <w:pStyle w:val="a4"/>
        <w:widowControl/>
        <w:spacing w:beforeAutospacing="0" w:afterAutospacing="0" w:line="480" w:lineRule="auto"/>
        <w:ind w:firstLine="420"/>
      </w:pPr>
      <w:r>
        <w:rPr>
          <w:rStyle w:val="a5"/>
          <w:rFonts w:ascii="Microsoft YaHei UI" w:eastAsia="Microsoft YaHei UI" w:hAnsi="Microsoft YaHei UI" w:cs="Microsoft YaHei UI" w:hint="eastAsia"/>
          <w:bCs/>
          <w:shd w:val="clear" w:color="auto" w:fill="FFFFFF"/>
        </w:rPr>
        <w:t>一</w:t>
      </w:r>
      <w:r>
        <w:rPr>
          <w:rStyle w:val="a5"/>
          <w:rFonts w:ascii="Tahoma" w:eastAsia="Tahoma" w:hAnsi="Tahoma" w:cs="Tahoma"/>
          <w:bCs/>
          <w:shd w:val="clear" w:color="auto" w:fill="FFFFFF"/>
        </w:rPr>
        <w:t>、</w:t>
      </w:r>
      <w:r>
        <w:rPr>
          <w:rStyle w:val="a5"/>
          <w:rFonts w:ascii="Tahoma" w:hAnsi="Tahoma" w:cs="Tahoma" w:hint="eastAsia"/>
          <w:bCs/>
          <w:shd w:val="clear" w:color="auto" w:fill="FFFFFF"/>
        </w:rPr>
        <w:t>项目</w:t>
      </w:r>
      <w:r w:rsidR="00B6029A">
        <w:rPr>
          <w:rStyle w:val="a5"/>
          <w:rFonts w:ascii="Tahoma" w:hAnsi="Tahoma" w:cs="Tahoma" w:hint="eastAsia"/>
          <w:bCs/>
          <w:shd w:val="clear" w:color="auto" w:fill="FFFFFF"/>
        </w:rPr>
        <w:t>名称</w:t>
      </w:r>
    </w:p>
    <w:p w:rsidR="00302BBC" w:rsidRPr="00974CE2" w:rsidRDefault="00B6029A">
      <w:pPr>
        <w:pStyle w:val="a4"/>
        <w:widowControl/>
        <w:spacing w:beforeAutospacing="0" w:afterAutospacing="0" w:line="480" w:lineRule="auto"/>
        <w:ind w:firstLine="420"/>
        <w:rPr>
          <w:rFonts w:ascii="Tahoma" w:hAnsi="Tahoma" w:cs="Tahoma"/>
          <w:shd w:val="clear" w:color="auto" w:fill="FFFFFF"/>
        </w:rPr>
      </w:pPr>
      <w:r>
        <w:rPr>
          <w:rFonts w:ascii="Tahoma" w:hAnsi="Tahoma" w:cs="Tahoma" w:hint="eastAsia"/>
          <w:shd w:val="clear" w:color="auto" w:fill="FFFFFF"/>
        </w:rPr>
        <w:t>项目名称：</w:t>
      </w:r>
      <w:r w:rsidR="00974CE2">
        <w:rPr>
          <w:rFonts w:ascii="Tahoma" w:eastAsia="Tahoma" w:hAnsi="Tahoma" w:cs="Tahoma"/>
          <w:shd w:val="clear" w:color="auto" w:fill="FFFFFF"/>
        </w:rPr>
        <w:t>医院</w:t>
      </w:r>
      <w:r w:rsidR="001A28C1" w:rsidRPr="001A28C1">
        <w:rPr>
          <w:rFonts w:ascii="Tahoma" w:eastAsia="Tahoma" w:hAnsi="Tahoma" w:cs="Tahoma" w:hint="eastAsia"/>
          <w:shd w:val="clear" w:color="auto" w:fill="FFFFFF"/>
        </w:rPr>
        <w:t>2025</w:t>
      </w:r>
      <w:r w:rsidR="001A28C1" w:rsidRPr="001A28C1">
        <w:rPr>
          <w:rFonts w:ascii="Microsoft YaHei UI" w:eastAsia="Microsoft YaHei UI" w:hAnsi="Microsoft YaHei UI" w:cs="Microsoft YaHei UI" w:hint="eastAsia"/>
          <w:shd w:val="clear" w:color="auto" w:fill="FFFFFF"/>
        </w:rPr>
        <w:t>年</w:t>
      </w:r>
      <w:r w:rsidR="001A28C1" w:rsidRPr="001A28C1">
        <w:rPr>
          <w:rFonts w:ascii="Tahoma" w:eastAsia="Tahoma" w:hAnsi="Tahoma" w:cs="Tahoma" w:hint="eastAsia"/>
          <w:shd w:val="clear" w:color="auto" w:fill="FFFFFF"/>
        </w:rPr>
        <w:t>-2027</w:t>
      </w:r>
      <w:r w:rsidR="001A28C1" w:rsidRPr="001A28C1">
        <w:rPr>
          <w:rFonts w:ascii="Microsoft YaHei UI" w:eastAsia="Microsoft YaHei UI" w:hAnsi="Microsoft YaHei UI" w:cs="Microsoft YaHei UI" w:hint="eastAsia"/>
          <w:shd w:val="clear" w:color="auto" w:fill="FFFFFF"/>
        </w:rPr>
        <w:t>年</w:t>
      </w:r>
      <w:r w:rsidR="00974CE2">
        <w:rPr>
          <w:rFonts w:ascii="Tahoma" w:eastAsia="Tahoma" w:hAnsi="Tahoma" w:cs="Tahoma"/>
          <w:shd w:val="clear" w:color="auto" w:fill="FFFFFF"/>
        </w:rPr>
        <w:t>污水处理站专业化管理服务项目</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shd w:val="clear" w:color="auto" w:fill="FFFFFF"/>
        </w:rPr>
        <w:t>地点：广州市海珠区石榴岗路13号大院南方医科大学中西医结合医院</w:t>
      </w:r>
    </w:p>
    <w:p w:rsidR="00302BBC" w:rsidRDefault="000D42A3">
      <w:pPr>
        <w:pStyle w:val="a4"/>
        <w:widowControl/>
        <w:spacing w:beforeAutospacing="0" w:afterAutospacing="0" w:line="480" w:lineRule="auto"/>
        <w:ind w:firstLine="420"/>
        <w:rPr>
          <w:rFonts w:ascii="Tahoma" w:eastAsia="宋体" w:hAnsi="Tahoma" w:cs="Tahoma"/>
          <w:b/>
          <w:bCs/>
          <w:shd w:val="clear" w:color="auto" w:fill="FFFFFF"/>
        </w:rPr>
      </w:pPr>
      <w:r>
        <w:rPr>
          <w:rFonts w:ascii="Tahoma" w:eastAsia="宋体" w:hAnsi="Tahoma" w:cs="Tahoma" w:hint="eastAsia"/>
          <w:b/>
          <w:bCs/>
          <w:shd w:val="clear" w:color="auto" w:fill="FFFFFF"/>
          <w:lang w:bidi="ar"/>
        </w:rPr>
        <w:t>二、</w:t>
      </w:r>
      <w:r>
        <w:rPr>
          <w:rFonts w:ascii="Tahoma" w:eastAsia="宋体" w:hAnsi="Tahoma" w:cs="Tahoma" w:hint="eastAsia"/>
          <w:b/>
          <w:bCs/>
          <w:shd w:val="clear" w:color="auto" w:fill="FFFFFF"/>
        </w:rPr>
        <w:t>项目概况</w:t>
      </w:r>
    </w:p>
    <w:p w:rsidR="00302BBC" w:rsidRDefault="000D42A3">
      <w:pPr>
        <w:pStyle w:val="a4"/>
        <w:widowControl/>
        <w:spacing w:beforeAutospacing="0" w:afterAutospacing="0" w:line="480" w:lineRule="auto"/>
        <w:ind w:left="420"/>
        <w:rPr>
          <w:rFonts w:ascii="Tahoma" w:eastAsia="宋体" w:hAnsi="Tahoma" w:cs="Tahoma"/>
          <w:shd w:val="clear" w:color="auto" w:fill="FFFFFF"/>
        </w:rPr>
      </w:pPr>
      <w:r>
        <w:rPr>
          <w:rFonts w:ascii="Tahoma" w:eastAsia="宋体" w:hAnsi="Tahoma" w:cs="Tahoma"/>
          <w:shd w:val="clear" w:color="auto" w:fill="FFFFFF"/>
        </w:rPr>
        <w:t>污水处理站设计量：</w:t>
      </w:r>
      <w:r>
        <w:rPr>
          <w:rFonts w:ascii="Tahoma" w:eastAsia="宋体" w:hAnsi="Tahoma" w:cs="Tahoma"/>
          <w:shd w:val="clear" w:color="auto" w:fill="FFFFFF"/>
        </w:rPr>
        <w:t>1000m3/d</w:t>
      </w:r>
      <w:r>
        <w:rPr>
          <w:rFonts w:ascii="Tahoma" w:eastAsia="宋体" w:hAnsi="Tahoma" w:cs="Tahoma"/>
          <w:shd w:val="clear" w:color="auto" w:fill="FFFFFF"/>
        </w:rPr>
        <w:t>，采用次氯酸钠溶液消毒</w:t>
      </w:r>
    </w:p>
    <w:p w:rsidR="00302BBC" w:rsidRDefault="000D42A3">
      <w:pPr>
        <w:pStyle w:val="a4"/>
        <w:widowControl/>
        <w:spacing w:beforeAutospacing="0" w:afterAutospacing="0" w:line="480" w:lineRule="auto"/>
        <w:ind w:left="420"/>
        <w:rPr>
          <w:rFonts w:ascii="Tahoma" w:eastAsia="宋体" w:hAnsi="Tahoma" w:cs="Tahoma"/>
          <w:shd w:val="clear" w:color="auto" w:fill="FFFFFF"/>
        </w:rPr>
      </w:pPr>
      <w:r>
        <w:rPr>
          <w:rFonts w:ascii="Tahoma" w:eastAsia="宋体" w:hAnsi="Tahoma" w:cs="Tahoma"/>
          <w:shd w:val="clear" w:color="auto" w:fill="FFFFFF"/>
        </w:rPr>
        <w:t>排放标准：废水经消毒后，达到《医疗机构水污染物排放标准》（</w:t>
      </w:r>
      <w:r>
        <w:rPr>
          <w:rFonts w:ascii="Tahoma" w:eastAsia="宋体" w:hAnsi="Tahoma" w:cs="Tahoma"/>
          <w:shd w:val="clear" w:color="auto" w:fill="FFFFFF"/>
        </w:rPr>
        <w:t>GB18466-2005</w:t>
      </w:r>
      <w:r>
        <w:rPr>
          <w:rFonts w:ascii="Tahoma" w:eastAsia="宋体" w:hAnsi="Tahoma" w:cs="Tahoma"/>
          <w:shd w:val="clear" w:color="auto" w:fill="FFFFFF"/>
        </w:rPr>
        <w:t>）中综合医疗机构和其他医疗机构水污染物排放限值（日均值）预处理标准。</w:t>
      </w:r>
    </w:p>
    <w:p w:rsidR="00F27329" w:rsidRDefault="00F27329" w:rsidP="00F27329">
      <w:pPr>
        <w:pStyle w:val="a6"/>
        <w:ind w:left="420" w:firstLineChars="0" w:firstLine="0"/>
        <w:jc w:val="left"/>
        <w:rPr>
          <w:rFonts w:hAnsi="宋体" w:cs="宋体"/>
          <w:b/>
          <w:bCs/>
        </w:rPr>
      </w:pPr>
      <w:r>
        <w:rPr>
          <w:rFonts w:hAnsi="宋体" w:cs="宋体" w:hint="eastAsia"/>
          <w:b/>
          <w:bCs/>
          <w:sz w:val="24"/>
          <w:szCs w:val="24"/>
        </w:rPr>
        <w:t>水污染物各项检测因子排放标准</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4"/>
        <w:gridCol w:w="1360"/>
        <w:gridCol w:w="3333"/>
        <w:gridCol w:w="3523"/>
      </w:tblGrid>
      <w:tr w:rsidR="00F27329" w:rsidTr="00382C9B">
        <w:trPr>
          <w:trHeight w:val="737"/>
        </w:trPr>
        <w:tc>
          <w:tcPr>
            <w:tcW w:w="9520" w:type="dxa"/>
            <w:gridSpan w:val="4"/>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Style w:val="a5"/>
                <w:rFonts w:ascii="仿宋" w:eastAsia="仿宋" w:hAnsi="仿宋" w:cs="仿宋" w:hint="eastAsia"/>
                <w:color w:val="333333"/>
                <w:sz w:val="20"/>
              </w:rPr>
              <w:t>医疗机构排污证水污染物排放标准</w:t>
            </w:r>
          </w:p>
        </w:tc>
      </w:tr>
      <w:tr w:rsidR="00F27329" w:rsidTr="00382C9B">
        <w:trPr>
          <w:trHeight w:val="943"/>
        </w:trPr>
        <w:tc>
          <w:tcPr>
            <w:tcW w:w="1304"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Style w:val="a5"/>
                <w:rFonts w:ascii="仿宋" w:eastAsia="仿宋" w:hAnsi="仿宋" w:cs="仿宋" w:hint="eastAsia"/>
                <w:color w:val="333333"/>
                <w:sz w:val="20"/>
              </w:rPr>
              <w:t>检测类型</w:t>
            </w:r>
          </w:p>
        </w:tc>
        <w:tc>
          <w:tcPr>
            <w:tcW w:w="1360"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Style w:val="a5"/>
                <w:rFonts w:ascii="仿宋" w:eastAsia="仿宋" w:hAnsi="仿宋" w:cs="仿宋" w:hint="eastAsia"/>
                <w:color w:val="333333"/>
                <w:sz w:val="20"/>
              </w:rPr>
              <w:t>排放口</w:t>
            </w: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Style w:val="a5"/>
                <w:rFonts w:ascii="仿宋" w:eastAsia="仿宋" w:hAnsi="仿宋" w:cs="仿宋" w:hint="eastAsia"/>
                <w:color w:val="333333"/>
                <w:sz w:val="20"/>
              </w:rPr>
              <w:t>检测因子</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Style w:val="a5"/>
                <w:rFonts w:ascii="仿宋" w:eastAsia="仿宋" w:hAnsi="仿宋" w:cs="仿宋" w:hint="eastAsia"/>
                <w:color w:val="333333"/>
                <w:sz w:val="20"/>
              </w:rPr>
              <w:t>排污许可证检测限值</w:t>
            </w:r>
          </w:p>
        </w:tc>
      </w:tr>
      <w:tr w:rsidR="00F27329" w:rsidTr="00382C9B">
        <w:trPr>
          <w:trHeight w:val="737"/>
        </w:trPr>
        <w:tc>
          <w:tcPr>
            <w:tcW w:w="1304" w:type="dxa"/>
            <w:vMerge w:val="restart"/>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废水</w:t>
            </w:r>
          </w:p>
        </w:tc>
        <w:tc>
          <w:tcPr>
            <w:tcW w:w="1360" w:type="dxa"/>
            <w:vMerge w:val="restart"/>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Calibri" w:eastAsia="仿宋" w:hAnsi="Calibri" w:cs="Calibri"/>
                <w:color w:val="333333"/>
                <w:sz w:val="20"/>
              </w:rPr>
              <w:t> </w:t>
            </w:r>
          </w:p>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总排放口</w:t>
            </w: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阴离子表面活性剂</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10mg/L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pH值</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6-9无量纲</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悬浮物</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60mg/L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五日生化需氧量</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100mg/L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粪大肠菌群</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5000mg/L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石油类</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20mg/L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总氰化物</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0.5mg/L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挥发酚</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1.0mg/L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化学需氧量</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250mg/L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动植物油</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20mg/L</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氨氮</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无限值要求</w:t>
            </w:r>
          </w:p>
        </w:tc>
      </w:tr>
      <w:tr w:rsidR="00F27329" w:rsidTr="00382C9B">
        <w:trPr>
          <w:trHeight w:val="73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沙门氏菌</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不得检出</w:t>
            </w:r>
          </w:p>
        </w:tc>
      </w:tr>
      <w:tr w:rsidR="00F27329" w:rsidTr="00E14FE6">
        <w:trPr>
          <w:trHeight w:val="400"/>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rPr>
                <w:rFonts w:ascii="仿宋" w:eastAsia="仿宋" w:hAnsi="仿宋" w:cs="仿宋"/>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志贺氏菌</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不得检出</w:t>
            </w:r>
          </w:p>
        </w:tc>
      </w:tr>
      <w:tr w:rsidR="00F27329" w:rsidTr="00E14FE6">
        <w:trPr>
          <w:trHeight w:val="497"/>
        </w:trPr>
        <w:tc>
          <w:tcPr>
            <w:tcW w:w="1304" w:type="dxa"/>
            <w:vMerge/>
            <w:tcMar>
              <w:left w:w="105" w:type="dxa"/>
              <w:right w:w="105" w:type="dxa"/>
            </w:tcMar>
            <w:vAlign w:val="center"/>
          </w:tcPr>
          <w:p w:rsidR="00F27329" w:rsidRDefault="00F27329" w:rsidP="00382C9B">
            <w:pPr>
              <w:rPr>
                <w:rFonts w:ascii="仿宋" w:eastAsia="仿宋" w:hAnsi="仿宋" w:cs="仿宋"/>
              </w:rPr>
            </w:pPr>
          </w:p>
        </w:tc>
        <w:tc>
          <w:tcPr>
            <w:tcW w:w="1360" w:type="dxa"/>
            <w:vMerge/>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p>
        </w:tc>
        <w:tc>
          <w:tcPr>
            <w:tcW w:w="333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色度</w:t>
            </w:r>
          </w:p>
        </w:tc>
        <w:tc>
          <w:tcPr>
            <w:tcW w:w="3523" w:type="dxa"/>
            <w:tcMar>
              <w:left w:w="105" w:type="dxa"/>
              <w:right w:w="105" w:type="dxa"/>
            </w:tcMar>
            <w:vAlign w:val="center"/>
          </w:tcPr>
          <w:p w:rsidR="00F27329" w:rsidRDefault="00F27329" w:rsidP="00382C9B">
            <w:pPr>
              <w:pStyle w:val="a4"/>
              <w:widowControl/>
              <w:spacing w:before="180" w:beforeAutospacing="0" w:afterAutospacing="0" w:line="555" w:lineRule="atLeast"/>
              <w:jc w:val="center"/>
              <w:rPr>
                <w:rFonts w:ascii="仿宋" w:eastAsia="仿宋" w:hAnsi="仿宋" w:cs="仿宋"/>
                <w:color w:val="333333"/>
                <w:sz w:val="20"/>
              </w:rPr>
            </w:pPr>
            <w:r>
              <w:rPr>
                <w:rFonts w:ascii="仿宋" w:eastAsia="仿宋" w:hAnsi="仿宋" w:cs="仿宋" w:hint="eastAsia"/>
                <w:color w:val="333333"/>
                <w:sz w:val="20"/>
              </w:rPr>
              <w:t>无限值要求</w:t>
            </w:r>
          </w:p>
        </w:tc>
      </w:tr>
      <w:tr w:rsidR="00F27329" w:rsidTr="00F27329">
        <w:trPr>
          <w:trHeight w:val="683"/>
        </w:trPr>
        <w:tc>
          <w:tcPr>
            <w:tcW w:w="1304" w:type="dxa"/>
            <w:vMerge/>
            <w:tcMar>
              <w:left w:w="105" w:type="dxa"/>
              <w:right w:w="105" w:type="dxa"/>
            </w:tcMar>
            <w:vAlign w:val="center"/>
          </w:tcPr>
          <w:p w:rsidR="00F27329" w:rsidRDefault="00F27329" w:rsidP="00F27329">
            <w:pPr>
              <w:rPr>
                <w:rFonts w:ascii="仿宋" w:eastAsia="仿宋" w:hAnsi="仿宋" w:cs="仿宋"/>
              </w:rPr>
            </w:pPr>
          </w:p>
        </w:tc>
        <w:tc>
          <w:tcPr>
            <w:tcW w:w="1360" w:type="dxa"/>
            <w:vMerge/>
            <w:tcMar>
              <w:left w:w="105" w:type="dxa"/>
              <w:right w:w="105" w:type="dxa"/>
            </w:tcMar>
            <w:vAlign w:val="center"/>
          </w:tcPr>
          <w:p w:rsidR="00F27329" w:rsidRDefault="00F27329" w:rsidP="00F27329">
            <w:pPr>
              <w:pStyle w:val="a4"/>
              <w:widowControl/>
              <w:spacing w:before="180" w:beforeAutospacing="0" w:afterAutospacing="0" w:line="555" w:lineRule="atLeast"/>
              <w:jc w:val="center"/>
              <w:rPr>
                <w:rFonts w:ascii="仿宋" w:eastAsia="仿宋" w:hAnsi="仿宋" w:cs="仿宋"/>
                <w:color w:val="333333"/>
                <w:sz w:val="20"/>
              </w:rPr>
            </w:pPr>
          </w:p>
        </w:tc>
        <w:tc>
          <w:tcPr>
            <w:tcW w:w="3333" w:type="dxa"/>
            <w:tcMar>
              <w:left w:w="105" w:type="dxa"/>
              <w:right w:w="105" w:type="dxa"/>
            </w:tcMar>
            <w:vAlign w:val="center"/>
          </w:tcPr>
          <w:p w:rsidR="00F27329" w:rsidRDefault="00F27329" w:rsidP="00F27329">
            <w:pPr>
              <w:jc w:val="center"/>
              <w:rPr>
                <w:rFonts w:ascii="仿宋" w:eastAsia="仿宋" w:hAnsi="仿宋" w:cs="仿宋"/>
                <w:color w:val="333333"/>
              </w:rPr>
            </w:pPr>
            <w:r>
              <w:rPr>
                <w:rFonts w:ascii="仿宋" w:eastAsia="仿宋" w:hAnsi="仿宋" w:cs="仿宋" w:hint="eastAsia"/>
              </w:rPr>
              <w:t>总β放射性</w:t>
            </w:r>
          </w:p>
        </w:tc>
        <w:tc>
          <w:tcPr>
            <w:tcW w:w="3523" w:type="dxa"/>
            <w:tcMar>
              <w:left w:w="105" w:type="dxa"/>
              <w:right w:w="105" w:type="dxa"/>
            </w:tcMar>
            <w:vAlign w:val="center"/>
          </w:tcPr>
          <w:p w:rsidR="00F27329" w:rsidRDefault="00F27329" w:rsidP="00F27329">
            <w:pPr>
              <w:jc w:val="center"/>
              <w:rPr>
                <w:rFonts w:ascii="仿宋" w:eastAsia="仿宋" w:hAnsi="仿宋" w:cs="仿宋"/>
                <w:color w:val="333333"/>
              </w:rPr>
            </w:pPr>
            <w:r>
              <w:rPr>
                <w:rFonts w:ascii="仿宋" w:eastAsia="仿宋" w:hAnsi="仿宋" w:cs="仿宋" w:hint="eastAsia"/>
              </w:rPr>
              <w:t>10Bp/L</w:t>
            </w:r>
          </w:p>
        </w:tc>
      </w:tr>
      <w:tr w:rsidR="00F27329" w:rsidTr="00F27329">
        <w:trPr>
          <w:trHeight w:val="692"/>
        </w:trPr>
        <w:tc>
          <w:tcPr>
            <w:tcW w:w="1304" w:type="dxa"/>
            <w:vMerge/>
            <w:tcMar>
              <w:left w:w="105" w:type="dxa"/>
              <w:right w:w="105" w:type="dxa"/>
            </w:tcMar>
            <w:vAlign w:val="center"/>
          </w:tcPr>
          <w:p w:rsidR="00F27329" w:rsidRDefault="00F27329" w:rsidP="00F27329">
            <w:pPr>
              <w:rPr>
                <w:rFonts w:ascii="仿宋" w:eastAsia="仿宋" w:hAnsi="仿宋" w:cs="仿宋"/>
              </w:rPr>
            </w:pPr>
          </w:p>
        </w:tc>
        <w:tc>
          <w:tcPr>
            <w:tcW w:w="1360" w:type="dxa"/>
            <w:vMerge/>
            <w:tcMar>
              <w:left w:w="105" w:type="dxa"/>
              <w:right w:w="105" w:type="dxa"/>
            </w:tcMar>
            <w:vAlign w:val="center"/>
          </w:tcPr>
          <w:p w:rsidR="00F27329" w:rsidRDefault="00F27329" w:rsidP="00F27329">
            <w:pPr>
              <w:pStyle w:val="a4"/>
              <w:widowControl/>
              <w:spacing w:before="180" w:beforeAutospacing="0" w:afterAutospacing="0" w:line="555" w:lineRule="atLeast"/>
              <w:jc w:val="center"/>
              <w:rPr>
                <w:rFonts w:ascii="仿宋" w:eastAsia="仿宋" w:hAnsi="仿宋" w:cs="仿宋"/>
                <w:color w:val="333333"/>
                <w:sz w:val="20"/>
              </w:rPr>
            </w:pPr>
          </w:p>
        </w:tc>
        <w:tc>
          <w:tcPr>
            <w:tcW w:w="3333" w:type="dxa"/>
            <w:tcMar>
              <w:left w:w="105" w:type="dxa"/>
              <w:right w:w="105" w:type="dxa"/>
            </w:tcMar>
            <w:vAlign w:val="center"/>
          </w:tcPr>
          <w:p w:rsidR="00F27329" w:rsidRDefault="00F27329" w:rsidP="00F27329">
            <w:pPr>
              <w:jc w:val="center"/>
              <w:rPr>
                <w:rFonts w:ascii="仿宋" w:eastAsia="仿宋" w:hAnsi="仿宋" w:cs="仿宋"/>
                <w:color w:val="333333"/>
              </w:rPr>
            </w:pPr>
            <w:r>
              <w:rPr>
                <w:rFonts w:ascii="仿宋" w:eastAsia="仿宋" w:hAnsi="仿宋" w:cs="仿宋" w:hint="eastAsia"/>
              </w:rPr>
              <w:t>总α放射性</w:t>
            </w:r>
          </w:p>
        </w:tc>
        <w:tc>
          <w:tcPr>
            <w:tcW w:w="3523" w:type="dxa"/>
            <w:tcMar>
              <w:left w:w="105" w:type="dxa"/>
              <w:right w:w="105" w:type="dxa"/>
            </w:tcMar>
            <w:vAlign w:val="center"/>
          </w:tcPr>
          <w:p w:rsidR="00F27329" w:rsidRDefault="00F27329" w:rsidP="00F27329">
            <w:pPr>
              <w:jc w:val="center"/>
              <w:rPr>
                <w:rFonts w:ascii="仿宋" w:eastAsia="仿宋" w:hAnsi="仿宋" w:cs="仿宋"/>
                <w:color w:val="333333"/>
              </w:rPr>
            </w:pPr>
            <w:r>
              <w:rPr>
                <w:rFonts w:ascii="仿宋" w:eastAsia="仿宋" w:hAnsi="仿宋" w:cs="仿宋" w:hint="eastAsia"/>
              </w:rPr>
              <w:t>1Bp/L</w:t>
            </w:r>
          </w:p>
        </w:tc>
      </w:tr>
    </w:tbl>
    <w:p w:rsidR="00F27329" w:rsidRDefault="00F27329" w:rsidP="00F27329">
      <w:pPr>
        <w:pStyle w:val="10"/>
        <w:spacing w:line="360" w:lineRule="auto"/>
        <w:ind w:left="420" w:firstLineChars="0" w:firstLine="0"/>
        <w:rPr>
          <w:rFonts w:hAnsi="宋体"/>
          <w:b/>
        </w:rPr>
      </w:pPr>
      <w:r>
        <w:rPr>
          <w:rFonts w:hAnsi="宋体" w:hint="eastAsia"/>
          <w:b/>
        </w:rPr>
        <w:t>污水处理系统工艺：</w:t>
      </w:r>
    </w:p>
    <w:p w:rsidR="00F27329" w:rsidRPr="00F27329" w:rsidRDefault="00F27329" w:rsidP="00F27329">
      <w:pPr>
        <w:pStyle w:val="10"/>
        <w:spacing w:line="360" w:lineRule="auto"/>
        <w:ind w:firstLineChars="0" w:firstLine="0"/>
        <w:rPr>
          <w:rFonts w:hAnsi="宋体"/>
        </w:rPr>
      </w:pPr>
      <w:r>
        <w:rPr>
          <w:noProof/>
        </w:rPr>
        <w:lastRenderedPageBreak/>
        <w:drawing>
          <wp:anchor distT="0" distB="0" distL="114300" distR="114300" simplePos="0" relativeHeight="251661312" behindDoc="0" locked="0" layoutInCell="1" allowOverlap="1" wp14:anchorId="0C609C1D" wp14:editId="7151C45F">
            <wp:simplePos x="0" y="0"/>
            <wp:positionH relativeFrom="column">
              <wp:posOffset>-31115</wp:posOffset>
            </wp:positionH>
            <wp:positionV relativeFrom="paragraph">
              <wp:posOffset>69850</wp:posOffset>
            </wp:positionV>
            <wp:extent cx="5514975" cy="2828925"/>
            <wp:effectExtent l="0" t="0" r="952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BBC" w:rsidRDefault="000D42A3">
      <w:pPr>
        <w:pStyle w:val="a4"/>
        <w:widowControl/>
        <w:spacing w:beforeAutospacing="0" w:afterAutospacing="0" w:line="480" w:lineRule="auto"/>
        <w:ind w:firstLine="420"/>
      </w:pPr>
      <w:r>
        <w:rPr>
          <w:rStyle w:val="a5"/>
          <w:rFonts w:ascii="Tahoma" w:eastAsia="宋体" w:hAnsi="Tahoma" w:cs="Tahoma" w:hint="eastAsia"/>
          <w:bCs/>
          <w:shd w:val="clear" w:color="auto" w:fill="FFFFFF"/>
        </w:rPr>
        <w:t>三</w:t>
      </w:r>
      <w:r>
        <w:rPr>
          <w:rStyle w:val="a5"/>
          <w:rFonts w:ascii="Tahoma" w:eastAsia="Tahoma" w:hAnsi="Tahoma" w:cs="Tahoma"/>
          <w:bCs/>
          <w:shd w:val="clear" w:color="auto" w:fill="FFFFFF"/>
        </w:rPr>
        <w:t>、报价单位资格条件</w:t>
      </w:r>
    </w:p>
    <w:p w:rsidR="00302BBC" w:rsidRPr="00974CE2" w:rsidRDefault="000D42A3">
      <w:pPr>
        <w:pStyle w:val="a4"/>
        <w:widowControl/>
        <w:spacing w:beforeAutospacing="0" w:afterAutospacing="0" w:line="480" w:lineRule="auto"/>
        <w:ind w:firstLine="420"/>
      </w:pPr>
      <w:r>
        <w:rPr>
          <w:rFonts w:ascii="Tahoma" w:eastAsia="Tahoma" w:hAnsi="Tahoma" w:cs="Tahoma"/>
          <w:shd w:val="clear" w:color="auto" w:fill="FFFFFF"/>
        </w:rPr>
        <w:t>1</w:t>
      </w:r>
      <w:r w:rsidR="00974CE2">
        <w:rPr>
          <w:rFonts w:ascii="Tahoma" w:eastAsia="Tahoma" w:hAnsi="Tahoma" w:cs="Tahoma"/>
          <w:shd w:val="clear" w:color="auto" w:fill="FFFFFF"/>
        </w:rPr>
        <w:t>、具有独立承担民事责任的能力</w:t>
      </w:r>
    </w:p>
    <w:p w:rsidR="00302BBC" w:rsidRPr="00974CE2" w:rsidRDefault="000D42A3">
      <w:pPr>
        <w:pStyle w:val="a4"/>
        <w:widowControl/>
        <w:spacing w:beforeAutospacing="0" w:afterAutospacing="0" w:line="480" w:lineRule="auto"/>
        <w:ind w:firstLine="420"/>
      </w:pPr>
      <w:r>
        <w:rPr>
          <w:rFonts w:ascii="Tahoma" w:eastAsia="Tahoma" w:hAnsi="Tahoma" w:cs="Tahoma"/>
          <w:shd w:val="clear" w:color="auto" w:fill="FFFFFF"/>
        </w:rPr>
        <w:t>2</w:t>
      </w:r>
      <w:r w:rsidR="00974CE2">
        <w:rPr>
          <w:rFonts w:ascii="Tahoma" w:eastAsia="Tahoma" w:hAnsi="Tahoma" w:cs="Tahoma"/>
          <w:shd w:val="clear" w:color="auto" w:fill="FFFFFF"/>
        </w:rPr>
        <w:t>、具有良好的商业信誉和健全的财务会计制度</w:t>
      </w:r>
    </w:p>
    <w:p w:rsidR="00302BBC" w:rsidRPr="00974CE2" w:rsidRDefault="000D42A3">
      <w:pPr>
        <w:pStyle w:val="a4"/>
        <w:widowControl/>
        <w:spacing w:beforeAutospacing="0" w:afterAutospacing="0" w:line="480" w:lineRule="auto"/>
        <w:ind w:firstLine="420"/>
      </w:pPr>
      <w:r>
        <w:rPr>
          <w:rFonts w:ascii="Tahoma" w:eastAsia="Tahoma" w:hAnsi="Tahoma" w:cs="Tahoma"/>
          <w:shd w:val="clear" w:color="auto" w:fill="FFFFFF"/>
        </w:rPr>
        <w:t>3</w:t>
      </w:r>
      <w:r w:rsidR="00974CE2">
        <w:rPr>
          <w:rFonts w:ascii="Tahoma" w:eastAsia="Tahoma" w:hAnsi="Tahoma" w:cs="Tahoma"/>
          <w:shd w:val="clear" w:color="auto" w:fill="FFFFFF"/>
        </w:rPr>
        <w:t>、有依法缴纳税收和社会保障资金的良好记录</w:t>
      </w:r>
    </w:p>
    <w:p w:rsidR="00302BBC" w:rsidRPr="00974CE2" w:rsidRDefault="000D42A3">
      <w:pPr>
        <w:pStyle w:val="a4"/>
        <w:widowControl/>
        <w:spacing w:beforeAutospacing="0" w:afterAutospacing="0" w:line="480" w:lineRule="auto"/>
        <w:ind w:firstLine="420"/>
      </w:pPr>
      <w:r>
        <w:rPr>
          <w:rFonts w:ascii="Tahoma" w:eastAsia="Tahoma" w:hAnsi="Tahoma" w:cs="Tahoma"/>
          <w:shd w:val="clear" w:color="auto" w:fill="FFFFFF"/>
        </w:rPr>
        <w:t>4、参加政府采购活动前3</w:t>
      </w:r>
      <w:r w:rsidR="00974CE2">
        <w:rPr>
          <w:rFonts w:ascii="Tahoma" w:eastAsia="Tahoma" w:hAnsi="Tahoma" w:cs="Tahoma"/>
          <w:shd w:val="clear" w:color="auto" w:fill="FFFFFF"/>
        </w:rPr>
        <w:t>年内，在经营活动中没有重大违法记录</w:t>
      </w:r>
    </w:p>
    <w:p w:rsidR="00302BBC" w:rsidRPr="00974CE2" w:rsidRDefault="000D42A3">
      <w:pPr>
        <w:pStyle w:val="a4"/>
        <w:widowControl/>
        <w:spacing w:beforeAutospacing="0" w:afterAutospacing="0" w:line="480" w:lineRule="auto"/>
        <w:ind w:firstLine="420"/>
        <w:rPr>
          <w:rFonts w:ascii="Tahoma" w:hAnsi="Tahoma" w:cs="Tahoma"/>
          <w:shd w:val="clear" w:color="auto" w:fill="FFFFFF"/>
        </w:rPr>
      </w:pPr>
      <w:r>
        <w:rPr>
          <w:rFonts w:ascii="Tahoma" w:eastAsia="Tahoma" w:hAnsi="Tahoma" w:cs="Tahoma"/>
          <w:shd w:val="clear" w:color="auto" w:fill="FFFFFF"/>
        </w:rPr>
        <w:t>5</w:t>
      </w:r>
      <w:r w:rsidR="00974CE2">
        <w:rPr>
          <w:rFonts w:ascii="Tahoma" w:eastAsia="Tahoma" w:hAnsi="Tahoma" w:cs="Tahoma"/>
          <w:shd w:val="clear" w:color="auto" w:fill="FFFFFF"/>
        </w:rPr>
        <w:t>、不接受联合体投标</w:t>
      </w:r>
    </w:p>
    <w:p w:rsidR="00302BBC" w:rsidRDefault="000D42A3">
      <w:pPr>
        <w:pStyle w:val="a4"/>
        <w:widowControl/>
        <w:spacing w:beforeAutospacing="0" w:afterAutospacing="0" w:line="480" w:lineRule="auto"/>
        <w:ind w:firstLine="420"/>
        <w:rPr>
          <w:rFonts w:ascii="Tahoma" w:eastAsia="宋体" w:hAnsi="Tahoma" w:cs="Tahoma"/>
          <w:shd w:val="clear" w:color="auto" w:fill="FFFFFF"/>
        </w:rPr>
      </w:pPr>
      <w:r>
        <w:rPr>
          <w:rFonts w:ascii="Tahoma" w:eastAsia="宋体" w:hAnsi="Tahoma" w:cs="Tahoma" w:hint="eastAsia"/>
          <w:shd w:val="clear" w:color="auto" w:fill="FFFFFF"/>
        </w:rPr>
        <w:t>6</w:t>
      </w:r>
      <w:r>
        <w:rPr>
          <w:rFonts w:ascii="Tahoma" w:eastAsia="宋体" w:hAnsi="Tahoma" w:cs="Tahoma" w:hint="eastAsia"/>
          <w:shd w:val="clear" w:color="auto" w:fill="FFFFFF"/>
        </w:rPr>
        <w:t>、供应商应具有</w:t>
      </w:r>
      <w:r>
        <w:rPr>
          <w:rFonts w:ascii="Tahoma" w:eastAsia="宋体" w:hAnsi="Tahoma" w:cs="Tahoma" w:hint="eastAsia"/>
          <w:shd w:val="clear" w:color="auto" w:fill="FFFFFF"/>
        </w:rPr>
        <w:t>5</w:t>
      </w:r>
      <w:r w:rsidR="00974CE2">
        <w:rPr>
          <w:rFonts w:ascii="Tahoma" w:eastAsia="宋体" w:hAnsi="Tahoma" w:cs="Tahoma" w:hint="eastAsia"/>
          <w:shd w:val="clear" w:color="auto" w:fill="FFFFFF"/>
        </w:rPr>
        <w:t>个或以上医疗污水运营业绩</w:t>
      </w:r>
    </w:p>
    <w:p w:rsidR="00302BBC" w:rsidRDefault="000D42A3" w:rsidP="00DA3E29">
      <w:pPr>
        <w:pStyle w:val="a4"/>
        <w:widowControl/>
        <w:spacing w:beforeAutospacing="0" w:afterAutospacing="0" w:line="480" w:lineRule="auto"/>
        <w:ind w:firstLine="420"/>
        <w:rPr>
          <w:rFonts w:ascii="Tahoma" w:eastAsia="宋体" w:hAnsi="Tahoma" w:cs="Tahoma"/>
          <w:shd w:val="clear" w:color="auto" w:fill="FFFFFF"/>
        </w:rPr>
      </w:pPr>
      <w:r>
        <w:rPr>
          <w:rFonts w:ascii="Tahoma" w:eastAsia="宋体" w:hAnsi="Tahoma" w:cs="Tahoma" w:hint="eastAsia"/>
          <w:shd w:val="clear" w:color="auto" w:fill="FFFFFF"/>
        </w:rPr>
        <w:t>7</w:t>
      </w:r>
      <w:r>
        <w:rPr>
          <w:rFonts w:ascii="Tahoma" w:eastAsia="宋体" w:hAnsi="Tahoma" w:cs="Tahoma" w:hint="eastAsia"/>
          <w:shd w:val="clear" w:color="auto" w:fill="FFFFFF"/>
        </w:rPr>
        <w:t>、项目团队应配备</w:t>
      </w:r>
      <w:r w:rsidR="001A28C1">
        <w:rPr>
          <w:rFonts w:ascii="Tahoma" w:eastAsia="宋体" w:hAnsi="Tahoma" w:cs="Tahoma" w:hint="eastAsia"/>
          <w:shd w:val="clear" w:color="auto" w:fill="FFFFFF"/>
        </w:rPr>
        <w:t>机</w:t>
      </w:r>
      <w:r w:rsidR="001A28C1" w:rsidRPr="001A28C1">
        <w:rPr>
          <w:rFonts w:ascii="Tahoma" w:eastAsia="宋体" w:hAnsi="Tahoma" w:cs="Tahoma" w:hint="eastAsia"/>
          <w:shd w:val="clear" w:color="auto" w:fill="FFFFFF"/>
        </w:rPr>
        <w:t>动</w:t>
      </w:r>
      <w:r w:rsidR="001A28C1">
        <w:rPr>
          <w:rFonts w:ascii="Tahoma" w:eastAsia="宋体" w:hAnsi="Tahoma" w:cs="Tahoma" w:hint="eastAsia"/>
          <w:shd w:val="clear" w:color="auto" w:fill="FFFFFF"/>
        </w:rPr>
        <w:t>项目经理</w:t>
      </w:r>
      <w:r>
        <w:rPr>
          <w:rFonts w:ascii="Tahoma" w:eastAsia="宋体" w:hAnsi="Tahoma" w:cs="Tahoma" w:hint="eastAsia"/>
          <w:shd w:val="clear" w:color="auto" w:fill="FFFFFF"/>
        </w:rPr>
        <w:t>一名，</w:t>
      </w:r>
      <w:r w:rsidR="001A28C1">
        <w:rPr>
          <w:rFonts w:ascii="Tahoma" w:eastAsia="宋体" w:hAnsi="Tahoma" w:cs="Tahoma" w:hint="eastAsia"/>
          <w:shd w:val="clear" w:color="auto" w:fill="FFFFFF"/>
        </w:rPr>
        <w:t>机动维修工程师一名，</w:t>
      </w:r>
      <w:r>
        <w:rPr>
          <w:rFonts w:ascii="Tahoma" w:eastAsia="宋体" w:hAnsi="Tahoma" w:cs="Tahoma" w:hint="eastAsia"/>
          <w:shd w:val="clear" w:color="auto" w:fill="FFFFFF"/>
        </w:rPr>
        <w:t>污水</w:t>
      </w:r>
      <w:r w:rsidR="001A28C1" w:rsidRPr="001A28C1">
        <w:rPr>
          <w:rFonts w:ascii="Tahoma" w:eastAsia="宋体" w:hAnsi="Tahoma" w:cs="Tahoma" w:hint="eastAsia"/>
          <w:shd w:val="clear" w:color="auto" w:fill="FFFFFF"/>
        </w:rPr>
        <w:t>驻场操作工</w:t>
      </w:r>
      <w:r w:rsidR="001A28C1">
        <w:rPr>
          <w:rFonts w:ascii="Tahoma" w:eastAsia="宋体" w:hAnsi="Tahoma" w:cs="Tahoma" w:hint="eastAsia"/>
          <w:shd w:val="clear" w:color="auto" w:fill="FFFFFF"/>
        </w:rPr>
        <w:t>一</w:t>
      </w:r>
      <w:r>
        <w:rPr>
          <w:rFonts w:ascii="Tahoma" w:eastAsia="宋体" w:hAnsi="Tahoma" w:cs="Tahoma" w:hint="eastAsia"/>
          <w:shd w:val="clear" w:color="auto" w:fill="FFFFFF"/>
        </w:rPr>
        <w:t>名</w:t>
      </w:r>
      <w:r w:rsidR="00DA3E29">
        <w:rPr>
          <w:rFonts w:ascii="Tahoma" w:eastAsia="宋体" w:hAnsi="Tahoma" w:cs="Tahoma" w:hint="eastAsia"/>
          <w:shd w:val="clear" w:color="auto" w:fill="FFFFFF"/>
        </w:rPr>
        <w:t>（医院</w:t>
      </w:r>
      <w:r w:rsidR="00DA3E29" w:rsidRPr="00DA3E29">
        <w:rPr>
          <w:rFonts w:ascii="Tahoma" w:eastAsia="宋体" w:hAnsi="Tahoma" w:cs="Tahoma" w:hint="eastAsia"/>
          <w:shd w:val="clear" w:color="auto" w:fill="FFFFFF"/>
        </w:rPr>
        <w:t>总务科配置污水处理专职管理人员协助乙方污水站运行、应急</w:t>
      </w:r>
      <w:r w:rsidR="00E14FE6">
        <w:rPr>
          <w:rFonts w:ascii="Tahoma" w:eastAsia="宋体" w:hAnsi="Tahoma" w:cs="Tahoma" w:hint="eastAsia"/>
          <w:shd w:val="clear" w:color="auto" w:fill="FFFFFF"/>
        </w:rPr>
        <w:t>等</w:t>
      </w:r>
      <w:r w:rsidR="00DA3E29">
        <w:rPr>
          <w:rFonts w:ascii="Tahoma" w:eastAsia="宋体" w:hAnsi="Tahoma" w:cs="Tahoma" w:hint="eastAsia"/>
          <w:shd w:val="clear" w:color="auto" w:fill="FFFFFF"/>
        </w:rPr>
        <w:t>）</w:t>
      </w:r>
      <w:r w:rsidR="00DA3E29" w:rsidRPr="00DA3E29">
        <w:rPr>
          <w:rFonts w:ascii="Tahoma" w:eastAsia="宋体" w:hAnsi="Tahoma" w:cs="Tahoma" w:hint="eastAsia"/>
          <w:shd w:val="clear" w:color="auto" w:fill="FFFFFF"/>
        </w:rPr>
        <w:t>。</w:t>
      </w:r>
    </w:p>
    <w:p w:rsidR="00302BBC" w:rsidRDefault="000D42A3">
      <w:pPr>
        <w:pStyle w:val="a4"/>
        <w:widowControl/>
        <w:spacing w:beforeAutospacing="0" w:afterAutospacing="0" w:line="480" w:lineRule="auto"/>
        <w:ind w:firstLine="420"/>
        <w:rPr>
          <w:rFonts w:ascii="Tahoma" w:eastAsia="Tahoma" w:hAnsi="Tahoma" w:cs="Tahoma"/>
          <w:b/>
          <w:bCs/>
          <w:shd w:val="clear" w:color="auto" w:fill="FFFFFF"/>
        </w:rPr>
      </w:pPr>
      <w:r>
        <w:rPr>
          <w:rFonts w:ascii="Tahoma" w:eastAsia="Tahoma" w:hAnsi="Tahoma" w:cs="Tahoma" w:hint="eastAsia"/>
          <w:b/>
          <w:bCs/>
          <w:shd w:val="clear" w:color="auto" w:fill="FFFFFF"/>
        </w:rPr>
        <w:t>四、服务内容</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1.每天打扫污水站值班室卫生（值班室位置,污水处理站），保持场地清洁。</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2.每天对污水站格栅进行清理，打包交接至医疗废物暂存间。</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3.每班交接后检查各电动设备是否正常，检查污水泵是否堵塞，交班前检查污水泵的浮球，防止失灵。</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4.每天记录好设备运行情况，做好加药工作，以及做好设备运营记录、维保维修记录、用药记录、交接班记录等。</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5.执行《医疗机构水污染物排放标准》(GB18466-2005)预处理标准的监测要求：每天两次进行pH值、总余氯检测</w:t>
      </w:r>
      <w:r w:rsidR="00E14FE6">
        <w:rPr>
          <w:rFonts w:asciiTheme="minorEastAsia" w:hAnsiTheme="minorEastAsia" w:cs="Tahoma" w:hint="eastAsia"/>
          <w:shd w:val="clear" w:color="auto" w:fill="FFFFFF"/>
        </w:rPr>
        <w:t>；</w:t>
      </w:r>
      <w:r>
        <w:rPr>
          <w:rFonts w:ascii="Tahoma" w:eastAsia="Tahoma" w:hAnsi="Tahoma" w:cs="Tahoma" w:hint="eastAsia"/>
          <w:shd w:val="clear" w:color="auto" w:fill="FFFFFF"/>
        </w:rPr>
        <w:t>每周</w:t>
      </w:r>
      <w:r w:rsidR="00E14FE6">
        <w:rPr>
          <w:rFonts w:asciiTheme="minorEastAsia" w:hAnsiTheme="minorEastAsia" w:cs="Tahoma" w:hint="eastAsia"/>
          <w:shd w:val="clear" w:color="auto" w:fill="FFFFFF"/>
        </w:rPr>
        <w:t>做好配合工作</w:t>
      </w:r>
      <w:r>
        <w:rPr>
          <w:rFonts w:ascii="Tahoma" w:eastAsia="Tahoma" w:hAnsi="Tahoma" w:cs="Tahoma" w:hint="eastAsia"/>
          <w:shd w:val="clear" w:color="auto" w:fill="FFFFFF"/>
        </w:rPr>
        <w:t>，由采购人委托有资质的检测机构检测化学需氧量、悬浮物</w:t>
      </w:r>
      <w:r w:rsidR="00E14FE6">
        <w:rPr>
          <w:rFonts w:asciiTheme="minorEastAsia" w:hAnsiTheme="minorEastAsia" w:cs="Tahoma" w:hint="eastAsia"/>
          <w:shd w:val="clear" w:color="auto" w:fill="FFFFFF"/>
        </w:rPr>
        <w:t>；</w:t>
      </w:r>
      <w:r>
        <w:rPr>
          <w:rFonts w:ascii="Tahoma" w:eastAsia="Tahoma" w:hAnsi="Tahoma" w:cs="Tahoma" w:hint="eastAsia"/>
          <w:shd w:val="clear" w:color="auto" w:fill="FFFFFF"/>
        </w:rPr>
        <w:t>每月</w:t>
      </w:r>
      <w:r w:rsidR="00E14FE6">
        <w:rPr>
          <w:rFonts w:asciiTheme="minorEastAsia" w:hAnsiTheme="minorEastAsia" w:cs="Tahoma" w:hint="eastAsia"/>
          <w:shd w:val="clear" w:color="auto" w:fill="FFFFFF"/>
        </w:rPr>
        <w:t>做好配合工作</w:t>
      </w:r>
      <w:r>
        <w:rPr>
          <w:rFonts w:ascii="Tahoma" w:eastAsia="Tahoma" w:hAnsi="Tahoma" w:cs="Tahoma" w:hint="eastAsia"/>
          <w:shd w:val="clear" w:color="auto" w:fill="FFFFFF"/>
        </w:rPr>
        <w:t>，由采购人委托有资质的检测机构至少监测1次粪大肠菌群数</w:t>
      </w:r>
      <w:r w:rsidR="00E14FE6" w:rsidRPr="00E14FE6">
        <w:rPr>
          <w:rFonts w:ascii="Microsoft YaHei UI" w:eastAsia="Microsoft YaHei UI" w:hAnsi="Microsoft YaHei UI" w:cs="Microsoft YaHei UI" w:hint="eastAsia"/>
          <w:shd w:val="clear" w:color="auto" w:fill="FFFFFF"/>
        </w:rPr>
        <w:t>（每半年加测</w:t>
      </w:r>
      <w:r w:rsidR="00E14FE6">
        <w:rPr>
          <w:rFonts w:ascii="Tahoma" w:eastAsia="Tahoma" w:hAnsi="Tahoma" w:cs="Tahoma" w:hint="eastAsia"/>
          <w:shd w:val="clear" w:color="auto" w:fill="FFFFFF"/>
        </w:rPr>
        <w:t>沙门氏菌、</w:t>
      </w:r>
      <w:r w:rsidR="00E14FE6">
        <w:rPr>
          <w:rFonts w:ascii="Microsoft YaHei UI" w:eastAsia="Microsoft YaHei UI" w:hAnsi="Microsoft YaHei UI" w:cs="Microsoft YaHei UI" w:hint="eastAsia"/>
          <w:shd w:val="clear" w:color="auto" w:fill="FFFFFF"/>
        </w:rPr>
        <w:t>志贺氏菌</w:t>
      </w:r>
      <w:r w:rsidR="00E14FE6" w:rsidRPr="00E14FE6">
        <w:rPr>
          <w:rFonts w:ascii="Microsoft YaHei UI" w:eastAsia="Microsoft YaHei UI" w:hAnsi="Microsoft YaHei UI" w:cs="Microsoft YaHei UI" w:hint="eastAsia"/>
          <w:shd w:val="clear" w:color="auto" w:fill="FFFFFF"/>
        </w:rPr>
        <w:t>）；</w:t>
      </w:r>
      <w:r>
        <w:rPr>
          <w:rFonts w:ascii="Tahoma" w:eastAsia="Tahoma" w:hAnsi="Tahoma" w:cs="Tahoma" w:hint="eastAsia"/>
          <w:shd w:val="clear" w:color="auto" w:fill="FFFFFF"/>
        </w:rPr>
        <w:t>每季度委托有资质检测机构进行一次水质检测（监测项目包括：</w:t>
      </w:r>
      <w:r w:rsidR="00E14FE6" w:rsidRPr="00E14FE6">
        <w:rPr>
          <w:rFonts w:ascii="Microsoft YaHei UI" w:eastAsia="Microsoft YaHei UI" w:hAnsi="Microsoft YaHei UI" w:cs="Microsoft YaHei UI" w:hint="eastAsia"/>
          <w:shd w:val="clear" w:color="auto" w:fill="FFFFFF"/>
        </w:rPr>
        <w:t>总氰化物、五日生化需氧量、动植物油、阴离子表面活性剂、粪大肠菌群数（</w:t>
      </w:r>
      <w:r w:rsidR="00E14FE6" w:rsidRPr="00E14FE6">
        <w:rPr>
          <w:rFonts w:ascii="Tahoma" w:eastAsia="Tahoma" w:hAnsi="Tahoma" w:cs="Tahoma" w:hint="eastAsia"/>
          <w:shd w:val="clear" w:color="auto" w:fill="FFFFFF"/>
        </w:rPr>
        <w:t>MPN/L</w:t>
      </w:r>
      <w:r w:rsidR="00E14FE6" w:rsidRPr="00E14FE6">
        <w:rPr>
          <w:rFonts w:ascii="Microsoft YaHei UI" w:eastAsia="Microsoft YaHei UI" w:hAnsi="Microsoft YaHei UI" w:cs="Microsoft YaHei UI" w:hint="eastAsia"/>
          <w:shd w:val="clear" w:color="auto" w:fill="FFFFFF"/>
        </w:rPr>
        <w:t>）、化学需氧量、肠道病毒、总余氯（以</w:t>
      </w:r>
      <w:r w:rsidR="00E14FE6" w:rsidRPr="00E14FE6">
        <w:rPr>
          <w:rFonts w:ascii="Tahoma" w:eastAsia="Tahoma" w:hAnsi="Tahoma" w:cs="Tahoma" w:hint="eastAsia"/>
          <w:shd w:val="clear" w:color="auto" w:fill="FFFFFF"/>
        </w:rPr>
        <w:t>Cl</w:t>
      </w:r>
      <w:r w:rsidR="00E14FE6" w:rsidRPr="00E14FE6">
        <w:rPr>
          <w:rFonts w:ascii="Microsoft YaHei UI" w:eastAsia="Microsoft YaHei UI" w:hAnsi="Microsoft YaHei UI" w:cs="Microsoft YaHei UI" w:hint="eastAsia"/>
          <w:shd w:val="clear" w:color="auto" w:fill="FFFFFF"/>
        </w:rPr>
        <w:t>计）、色度、石油类，氨氮（</w:t>
      </w:r>
      <w:r w:rsidR="00E14FE6" w:rsidRPr="00E14FE6">
        <w:rPr>
          <w:rFonts w:ascii="Tahoma" w:eastAsia="Tahoma" w:hAnsi="Tahoma" w:cs="Tahoma" w:hint="eastAsia"/>
          <w:shd w:val="clear" w:color="auto" w:fill="FFFFFF"/>
        </w:rPr>
        <w:t>NH3-N</w:t>
      </w:r>
      <w:r w:rsidR="00E14FE6" w:rsidRPr="00E14FE6">
        <w:rPr>
          <w:rFonts w:ascii="Microsoft YaHei UI" w:eastAsia="Microsoft YaHei UI" w:hAnsi="Microsoft YaHei UI" w:cs="Microsoft YaHei UI" w:hint="eastAsia"/>
          <w:shd w:val="clear" w:color="auto" w:fill="FFFFFF"/>
        </w:rPr>
        <w:t>）、悬浮物、肠道致病菌（沙门氏菌、志贺氏菌）、挥发酚、总</w:t>
      </w:r>
      <w:r w:rsidR="00E14FE6" w:rsidRPr="00E14FE6">
        <w:rPr>
          <w:rFonts w:ascii="Tahoma" w:eastAsia="Tahoma" w:hAnsi="Tahoma" w:cs="Tahoma"/>
          <w:shd w:val="clear" w:color="auto" w:fill="FFFFFF"/>
        </w:rPr>
        <w:t>α</w:t>
      </w:r>
      <w:r w:rsidR="00E14FE6" w:rsidRPr="00E14FE6">
        <w:rPr>
          <w:rFonts w:ascii="Microsoft YaHei UI" w:eastAsia="Microsoft YaHei UI" w:hAnsi="Microsoft YaHei UI" w:cs="Microsoft YaHei UI" w:hint="eastAsia"/>
          <w:shd w:val="clear" w:color="auto" w:fill="FFFFFF"/>
        </w:rPr>
        <w:t>放射性、总</w:t>
      </w:r>
      <w:r w:rsidR="00E14FE6" w:rsidRPr="00E14FE6">
        <w:rPr>
          <w:rFonts w:ascii="Tahoma" w:eastAsia="Tahoma" w:hAnsi="Tahoma" w:cs="Tahoma"/>
          <w:shd w:val="clear" w:color="auto" w:fill="FFFFFF"/>
        </w:rPr>
        <w:t>β</w:t>
      </w:r>
      <w:r w:rsidR="00E14FE6" w:rsidRPr="00E14FE6">
        <w:rPr>
          <w:rFonts w:ascii="Microsoft YaHei UI" w:eastAsia="Microsoft YaHei UI" w:hAnsi="Microsoft YaHei UI" w:cs="Microsoft YaHei UI" w:hint="eastAsia"/>
          <w:shd w:val="clear" w:color="auto" w:fill="FFFFFF"/>
        </w:rPr>
        <w:t>放射性）</w:t>
      </w:r>
      <w:r>
        <w:rPr>
          <w:rFonts w:ascii="Tahoma" w:eastAsia="Tahoma" w:hAnsi="Tahoma" w:cs="Tahoma" w:hint="eastAsia"/>
          <w:shd w:val="clear" w:color="auto" w:fill="FFFFFF"/>
        </w:rPr>
        <w:t>，水质检测项目以实施时当地行政管理部门最终要求和《医疗机构水污染物排放标准》(GB18466-2005)预处理标准要求执行。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6.每月对所有设备进行一次例行检修、保养（包含更换黄油或机油、修补油漆和防腐层、设备修理与耗材更换等）。</w:t>
      </w:r>
    </w:p>
    <w:p w:rsidR="00302BBC" w:rsidRDefault="000D42A3" w:rsidP="00E14FE6">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7.</w:t>
      </w:r>
      <w:r w:rsidR="00E14FE6">
        <w:rPr>
          <w:rFonts w:ascii="Tahoma" w:eastAsia="Tahoma" w:hAnsi="Tahoma" w:cs="Tahoma"/>
          <w:shd w:val="clear" w:color="auto" w:fill="FFFFFF"/>
        </w:rPr>
        <w:t xml:space="preserve"> </w:t>
      </w:r>
      <w:r>
        <w:rPr>
          <w:rFonts w:ascii="Tahoma" w:eastAsia="Tahoma" w:hAnsi="Tahoma" w:cs="Tahoma" w:hint="eastAsia"/>
          <w:shd w:val="clear" w:color="auto" w:fill="FFFFFF"/>
        </w:rPr>
        <w:t>协助采购人做好第三方水样的采集、配送工作的监督检查。</w:t>
      </w:r>
    </w:p>
    <w:p w:rsidR="00302BBC" w:rsidRDefault="00E14FE6">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shd w:val="clear" w:color="auto" w:fill="FFFFFF"/>
        </w:rPr>
        <w:t>8</w:t>
      </w:r>
      <w:r w:rsidR="000D42A3">
        <w:rPr>
          <w:rFonts w:ascii="Tahoma" w:eastAsia="Tahoma" w:hAnsi="Tahoma" w:cs="Tahoma" w:hint="eastAsia"/>
          <w:shd w:val="clear" w:color="auto" w:fill="FFFFFF"/>
        </w:rPr>
        <w:t>.每个月将所有的巡查、维保维修，定时/定期检测水质报告等全部资料按采购人要求做好装订成册、归档，作为每月支付费用的依据。</w:t>
      </w:r>
    </w:p>
    <w:p w:rsidR="00302BBC" w:rsidRDefault="00E14FE6">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shd w:val="clear" w:color="auto" w:fill="FFFFFF"/>
        </w:rPr>
        <w:t>9</w:t>
      </w:r>
      <w:r w:rsidR="000D42A3">
        <w:rPr>
          <w:rFonts w:ascii="Tahoma" w:eastAsia="Tahoma" w:hAnsi="Tahoma" w:cs="Tahoma" w:hint="eastAsia"/>
          <w:shd w:val="clear" w:color="auto" w:fill="FFFFFF"/>
        </w:rPr>
        <w:t>. 建立及完善污水站设备设施的台帐，台帐需符合环保及上级相关检查部门的检查要求并做好相关迎检与污水站运营管理相关的其他工作。</w:t>
      </w:r>
    </w:p>
    <w:p w:rsidR="00302BBC" w:rsidRDefault="000D42A3">
      <w:pPr>
        <w:pStyle w:val="a4"/>
        <w:widowControl/>
        <w:spacing w:beforeAutospacing="0" w:afterAutospacing="0" w:line="480" w:lineRule="auto"/>
        <w:ind w:firstLine="420"/>
        <w:rPr>
          <w:rFonts w:ascii="Tahoma" w:eastAsia="Tahoma" w:hAnsi="Tahoma" w:cs="Tahoma"/>
          <w:b/>
          <w:bCs/>
          <w:shd w:val="clear" w:color="auto" w:fill="FFFFFF"/>
        </w:rPr>
      </w:pPr>
      <w:r>
        <w:rPr>
          <w:rFonts w:ascii="Tahoma" w:eastAsia="Tahoma" w:hAnsi="Tahoma" w:cs="Tahoma" w:hint="eastAsia"/>
          <w:b/>
          <w:bCs/>
          <w:shd w:val="clear" w:color="auto" w:fill="FFFFFF"/>
        </w:rPr>
        <w:t>五、售后服务及其他要求</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1.污水站运行管理，对现有污水站设施运行进行管理和维护保养，保障设备的正常运行，包括维修检修费用。为保证采购人正常运营，污水站运维管理方会</w:t>
      </w:r>
      <w:r>
        <w:rPr>
          <w:rFonts w:ascii="Tahoma" w:eastAsia="Tahoma" w:hAnsi="Tahoma" w:cs="Tahoma" w:hint="eastAsia"/>
          <w:shd w:val="clear" w:color="auto" w:fill="FFFFFF"/>
        </w:rPr>
        <w:lastRenderedPageBreak/>
        <w:t>及时响应，一般故障1个小时内到达现场，2个小时内解决问题，设备故障8小时内解决。若因运营公司人为损坏或保养不当导致的设备损坏，其更换费用由运营公司承担。因设备故障影响污水合格排放的，由运营公司负责保证临时排放合格相关临时设施，如及时更换备用设备或采取废水转运等合法合规措施。</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2. 运营管理及人员必须服从采购人的管理和监督。驻场的运营管理操作人员须穿着统一的制服，配戴专业上岗证，同时必须接受过必要的培训，具备岗位的操作技能和上岗资格证，并将相关资格及培训记录交采购人备案。如需更换人员，必须书面经采购人审核同意方可实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3.由运营公司负责</w:t>
      </w:r>
      <w:r w:rsidR="00F27329">
        <w:rPr>
          <w:rFonts w:hAnsi="宋体" w:hint="eastAsia"/>
        </w:rPr>
        <w:t>除新增设备、政府新增监督项目、及协商同意改变外，报价人所投报价应包含合同期内的物料（不包含人民币</w:t>
      </w:r>
      <w:r w:rsidR="00F27329">
        <w:rPr>
          <w:rFonts w:hAnsi="宋体"/>
        </w:rPr>
        <w:t>2</w:t>
      </w:r>
      <w:r w:rsidR="00F27329">
        <w:rPr>
          <w:rFonts w:hAnsi="宋体" w:hint="eastAsia"/>
        </w:rPr>
        <w:t>000</w:t>
      </w:r>
      <w:r w:rsidR="00F27329">
        <w:rPr>
          <w:rFonts w:hAnsi="宋体" w:hint="eastAsia"/>
        </w:rPr>
        <w:t>元以上的维修物料和大型设备更换）、人力、设备等的浮动及耗损</w:t>
      </w:r>
      <w:r>
        <w:rPr>
          <w:rFonts w:ascii="Tahoma" w:eastAsia="Tahoma" w:hAnsi="Tahoma" w:cs="Tahoma" w:hint="eastAsia"/>
          <w:shd w:val="clear" w:color="auto" w:fill="FFFFFF"/>
        </w:rPr>
        <w:t>。</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4.运营公司在承包期内必须按相关规范及标准做好污水处理的日常跟踪检测、及记录，保证污水处理运营符合相关监督要求，季度检测费用由运营公司负责。</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5. 运营公司每月制定运营情况报告（包括运营业情况、存在问题、分析、解决方案等）及监督评价交采购人审核、确认，并以此作为每月付款依据。</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6.如发生设备故障或突发事件，运营公司应配合采购人做好应急处理方案及配合，确保污水达标排放，必要时启用备用方案（包含且不局限于投药装置，水泵，曝气机，污泥泵及应急桶）。自然灾害、不可抗力的因素除外。</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7.工作人员做好职业防护，工作人员发生职业暴露应按采购人职业暴露处理报告流程进行处理和上报，发生工伤、计生等劳资纠纷及安全事故等由运营公司自行负责，与采购人无关。</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8.合同期内运营公司出现违规行为，按照情节严重程度进行现金扣罚，合同期内出现以下情形之一，采购人有权终止合同：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（1）因管理不到位造成人员伤残、死亡事故等，采购人有权终止合同，所造成的一切后果由运营公司承担法律责任和经济赔偿；</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（2）运营公司管理不到位，造成群发性事件，严重影响采购人名誉的，采购人有权终止合同；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（3）发生重大突发应急事件，运营公司处理不当的，采购人有权终止合同；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（4）运营公司必须服从采购人主管部门的合理安排，屡次不服从的，采购人有权终止合同；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（5）运营公司自身原因而导致不能为采购人提供正常服务的，采购人有权委托他人提供，但费用由运营公司负责。</w:t>
      </w:r>
    </w:p>
    <w:p w:rsidR="00302BBC" w:rsidRDefault="000D42A3">
      <w:pPr>
        <w:pStyle w:val="a4"/>
        <w:widowControl/>
        <w:spacing w:beforeAutospacing="0" w:afterAutospacing="0" w:line="480" w:lineRule="auto"/>
        <w:ind w:firstLine="420"/>
        <w:rPr>
          <w:rFonts w:ascii="Tahoma" w:eastAsia="Tahoma" w:hAnsi="Tahoma" w:cs="Tahoma"/>
          <w:b/>
          <w:bCs/>
          <w:shd w:val="clear" w:color="auto" w:fill="FFFFFF"/>
        </w:rPr>
      </w:pPr>
      <w:r>
        <w:rPr>
          <w:rFonts w:ascii="Tahoma" w:eastAsia="Tahoma" w:hAnsi="Tahoma" w:cs="Tahoma" w:hint="eastAsia"/>
          <w:b/>
          <w:bCs/>
          <w:shd w:val="clear" w:color="auto" w:fill="FFFFFF"/>
        </w:rPr>
        <w:t>六、现场管理及人员调配方案</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南方医科大学中西医结合医院污水处理站污水处理系统设备每天24小时运行，运营公司将保证污水处理站每天有污水处理人员上岗并处理污水，将污水达标排放。</w:t>
      </w:r>
    </w:p>
    <w:p w:rsidR="00302BBC" w:rsidRDefault="001C03AB">
      <w:pPr>
        <w:pStyle w:val="a4"/>
        <w:widowControl/>
        <w:spacing w:beforeAutospacing="0" w:afterAutospacing="0" w:line="480" w:lineRule="auto"/>
        <w:ind w:firstLine="420"/>
        <w:rPr>
          <w:rFonts w:ascii="Tahoma" w:eastAsia="Tahoma" w:hAnsi="Tahoma" w:cs="Tahoma"/>
          <w:b/>
          <w:bCs/>
          <w:shd w:val="clear" w:color="auto" w:fill="FFFFFF"/>
        </w:rPr>
      </w:pPr>
      <w:bookmarkStart w:id="0" w:name="_Toc269715944"/>
      <w:bookmarkStart w:id="1" w:name="_Toc281833154"/>
      <w:bookmarkStart w:id="2" w:name="_Toc519440895"/>
      <w:bookmarkStart w:id="3" w:name="_Toc21939769"/>
      <w:bookmarkStart w:id="4" w:name="_Toc6842321"/>
      <w:bookmarkStart w:id="5" w:name="_Toc520126627"/>
      <w:bookmarkStart w:id="6" w:name="_Toc21939213"/>
      <w:bookmarkStart w:id="7" w:name="_Toc24377648"/>
      <w:r>
        <w:rPr>
          <w:rFonts w:asciiTheme="minorEastAsia" w:hAnsiTheme="minorEastAsia" w:cs="Tahoma" w:hint="eastAsia"/>
          <w:b/>
          <w:bCs/>
          <w:shd w:val="clear" w:color="auto" w:fill="FFFFFF"/>
        </w:rPr>
        <w:t>七</w:t>
      </w:r>
      <w:r w:rsidR="000D42A3">
        <w:rPr>
          <w:rFonts w:ascii="Tahoma" w:eastAsia="Tahoma" w:hAnsi="Tahoma" w:cs="Tahoma" w:hint="eastAsia"/>
          <w:b/>
          <w:bCs/>
          <w:shd w:val="clear" w:color="auto" w:fill="FFFFFF"/>
        </w:rPr>
        <w:t>、设备维护保养管理计划</w:t>
      </w:r>
      <w:r w:rsidR="000D42A3">
        <w:rPr>
          <w:rFonts w:ascii="Tahoma" w:eastAsia="Tahoma" w:hAnsi="Tahoma" w:cs="Tahoma" w:hint="eastAsia"/>
          <w:b/>
          <w:bCs/>
          <w:shd w:val="clear" w:color="auto" w:fill="FFFFFF"/>
        </w:rPr>
        <w:t>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 xml:space="preserve">1.运行管理人员和维修人员应熟悉机电设备的维修规定。 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2.应对构筑物的结构及各种闸阀、护栏、爬梯、管道等定期进行检查、维修及防腐处理，并及时更换被损坏的照明设备。</w:t>
      </w:r>
    </w:p>
    <w:p w:rsidR="00E14FE6" w:rsidRDefault="000D42A3">
      <w:pPr>
        <w:pStyle w:val="a4"/>
        <w:widowControl/>
        <w:spacing w:beforeAutospacing="0" w:afterAutospacing="0" w:line="480" w:lineRule="auto"/>
        <w:ind w:firstLine="420"/>
        <w:rPr>
          <w:rFonts w:ascii="Tahoma" w:hAnsi="Tahoma" w:cs="Tahoma"/>
          <w:shd w:val="clear" w:color="auto" w:fill="FFFFFF"/>
        </w:rPr>
      </w:pPr>
      <w:r>
        <w:rPr>
          <w:rFonts w:ascii="Tahoma" w:eastAsia="Tahoma" w:hAnsi="Tahoma" w:cs="Tahoma" w:hint="eastAsia"/>
          <w:shd w:val="clear" w:color="auto" w:fill="FFFFFF"/>
        </w:rPr>
        <w:t>3.应经常检查和紧固各种设备连接件，定期更换联轴器的易损件。</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4.各种管道闸阀应定期做启闭试验。</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5.应定期检查、清扫电器控制柜，并测试其各种技术性能。 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6.应定期检查电动闸阀的限位开关、手动与电动的联锁装置。 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 xml:space="preserve">7.在每次停泵后，应检查填料或油封的密封情况，进行必要的处理。并根据需要填加或更换填料、润滑油、润滑脂。 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 xml:space="preserve">8.凡设有钢丝绳的装置，绳的磨损量大于原直径10%，或其中的一股已经断裂时，必须更换。 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 xml:space="preserve">9.各种机械设备除应做好日常维护保养外，还应按设计要求或制造厂的要求进行大、中、小修。  </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10.检修各类机械设备时，应根据设备的要求，必须保证其同轴度、静平衡等技术要求。</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11.不得将维修设备更换出的润滑油、润滑脂、实验室废水及其它杂物丢入污水处理设施内。</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12.维修机械设备时，不得随意搭接临时动力线。</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 xml:space="preserve">13.建筑物、构筑物等的避雷、防爆装置的测试、维修及其周期应符合电业和消防部门的规定。  </w:t>
      </w:r>
    </w:p>
    <w:p w:rsidR="00302BBC" w:rsidRDefault="000D42A3">
      <w:pPr>
        <w:pStyle w:val="a4"/>
        <w:widowControl/>
        <w:spacing w:beforeAutospacing="0" w:afterAutospacing="0" w:line="480" w:lineRule="auto"/>
        <w:ind w:firstLine="420"/>
        <w:rPr>
          <w:rFonts w:ascii="Tahoma" w:eastAsia="Tahoma" w:hAnsi="Tahoma" w:cs="Tahoma"/>
          <w:shd w:val="clear" w:color="auto" w:fill="FFFFFF"/>
          <w:lang w:val="en-GB"/>
        </w:rPr>
        <w:sectPr w:rsidR="00302BBC">
          <w:pgSz w:w="11906" w:h="16838"/>
          <w:pgMar w:top="1440" w:right="1800" w:bottom="1440" w:left="1800" w:header="851" w:footer="992" w:gutter="0"/>
          <w:cols w:space="425"/>
          <w:docGrid w:type="lines" w:linePitch="312"/>
        </w:sectPr>
      </w:pPr>
      <w:r>
        <w:rPr>
          <w:rFonts w:ascii="Tahoma" w:eastAsia="Tahoma" w:hAnsi="Tahoma" w:cs="Tahoma" w:hint="eastAsia"/>
          <w:shd w:val="clear" w:color="auto" w:fill="FFFFFF"/>
        </w:rPr>
        <w:t>14.应定期检查和更换消防设施等防护用品。</w:t>
      </w:r>
    </w:p>
    <w:p w:rsidR="00302BBC" w:rsidRDefault="001C03AB">
      <w:pPr>
        <w:pStyle w:val="a4"/>
        <w:widowControl/>
        <w:spacing w:beforeAutospacing="0" w:afterAutospacing="0" w:line="480" w:lineRule="auto"/>
        <w:ind w:firstLine="420"/>
        <w:rPr>
          <w:rFonts w:ascii="Tahoma" w:eastAsia="Tahoma" w:hAnsi="Tahoma" w:cs="Tahoma"/>
          <w:b/>
          <w:bCs/>
          <w:shd w:val="clear" w:color="auto" w:fill="FFFFFF"/>
        </w:rPr>
      </w:pPr>
      <w:bookmarkStart w:id="8" w:name="_Toc21939822"/>
      <w:bookmarkStart w:id="9" w:name="_Toc23181162"/>
      <w:bookmarkStart w:id="10" w:name="_Toc24377661"/>
      <w:bookmarkStart w:id="11" w:name="_Toc23771826"/>
      <w:bookmarkStart w:id="12" w:name="_Toc21939266"/>
      <w:bookmarkEnd w:id="0"/>
      <w:bookmarkEnd w:id="1"/>
      <w:bookmarkEnd w:id="2"/>
      <w:bookmarkEnd w:id="3"/>
      <w:bookmarkEnd w:id="4"/>
      <w:bookmarkEnd w:id="5"/>
      <w:bookmarkEnd w:id="6"/>
      <w:bookmarkEnd w:id="7"/>
      <w:r>
        <w:rPr>
          <w:rFonts w:asciiTheme="minorEastAsia" w:hAnsiTheme="minorEastAsia" w:cs="Tahoma" w:hint="eastAsia"/>
          <w:b/>
          <w:bCs/>
          <w:shd w:val="clear" w:color="auto" w:fill="FFFFFF"/>
        </w:rPr>
        <w:lastRenderedPageBreak/>
        <w:t>八</w:t>
      </w:r>
      <w:r w:rsidR="000D42A3">
        <w:rPr>
          <w:rFonts w:ascii="Tahoma" w:eastAsia="Tahoma" w:hAnsi="Tahoma" w:cs="Tahoma" w:hint="eastAsia"/>
          <w:b/>
          <w:bCs/>
          <w:shd w:val="clear" w:color="auto" w:fill="FFFFFF"/>
        </w:rPr>
        <w:t>、运行记录保存和报告计划安排</w:t>
      </w:r>
      <w:bookmarkEnd w:id="8"/>
      <w:bookmarkEnd w:id="9"/>
      <w:bookmarkEnd w:id="10"/>
      <w:bookmarkEnd w:id="11"/>
      <w:bookmarkEnd w:id="12"/>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一个污水站，每日或全站处理了多少污水，处理效果如何，处理过程有什么异常解决方式与结果如何，凭污水站的运行记录及报表来反映。污水站的原始记录与报表是一项重要的方案记录与档案材料，可为管理人员提供直接的运转数据、设备数据、财务数据、分析化验数据，可依靠这些数据对工艺进行计算与调整，对设施设备状况进行分析、判断，对经营情况进行调整，并据此而提出设施设备维修计划，或据此进行下一步的生产调度。</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由运营公司建立日常工作记录台簿，将每日进行的一切工作活动记录在册，包括开泵、关泵、清渣、投加药剂、定期清理格栅、清洗在线监测仪探头、维修、交接班时间和工作内容等。</w:t>
      </w:r>
    </w:p>
    <w:p w:rsidR="00302BBC" w:rsidRDefault="000D42A3">
      <w:pPr>
        <w:pStyle w:val="a4"/>
        <w:widowControl/>
        <w:spacing w:beforeAutospacing="0" w:afterAutospacing="0" w:line="480" w:lineRule="auto"/>
        <w:ind w:firstLine="420"/>
        <w:rPr>
          <w:rFonts w:ascii="Tahoma" w:hAnsi="Tahoma" w:cs="Tahoma"/>
          <w:shd w:val="clear" w:color="auto" w:fill="FFFFFF"/>
        </w:rPr>
      </w:pPr>
      <w:r>
        <w:rPr>
          <w:rFonts w:ascii="Tahoma" w:eastAsia="Tahoma" w:hAnsi="Tahoma" w:cs="Tahoma" w:hint="eastAsia"/>
          <w:shd w:val="clear" w:color="auto" w:fill="FFFFFF"/>
        </w:rPr>
        <w:t>运行值班人员在填写原始记录时，应及时、清晰、完整、真实准确统计报表的编制在定时、系统、简练地反映污水处理过程不同时期、不同专业的运行管理状况的主要信息。</w:t>
      </w:r>
    </w:p>
    <w:p w:rsidR="00CD451F" w:rsidRPr="00CD451F" w:rsidRDefault="00CD451F">
      <w:pPr>
        <w:pStyle w:val="a4"/>
        <w:widowControl/>
        <w:spacing w:beforeAutospacing="0" w:afterAutospacing="0" w:line="480" w:lineRule="auto"/>
        <w:ind w:firstLine="420"/>
        <w:rPr>
          <w:rFonts w:ascii="Tahoma" w:hAnsi="Tahoma" w:cs="Tahoma" w:hint="eastAsia"/>
          <w:shd w:val="clear" w:color="auto" w:fill="FFFFFF"/>
        </w:rPr>
      </w:pPr>
    </w:p>
    <w:tbl>
      <w:tblPr>
        <w:tblStyle w:val="a9"/>
        <w:tblpPr w:leftFromText="180" w:rightFromText="180" w:vertAnchor="text" w:horzAnchor="page" w:tblpX="685" w:tblpY="896"/>
        <w:tblOverlap w:val="never"/>
        <w:tblW w:w="10418" w:type="dxa"/>
        <w:tblLook w:val="04A0" w:firstRow="1" w:lastRow="0" w:firstColumn="1" w:lastColumn="0" w:noHBand="0" w:noVBand="1"/>
      </w:tblPr>
      <w:tblGrid>
        <w:gridCol w:w="2293"/>
        <w:gridCol w:w="2490"/>
        <w:gridCol w:w="2237"/>
        <w:gridCol w:w="3398"/>
      </w:tblGrid>
      <w:tr w:rsidR="00CD451F" w:rsidTr="00657D3E">
        <w:trPr>
          <w:trHeight w:val="4365"/>
        </w:trPr>
        <w:tc>
          <w:tcPr>
            <w:tcW w:w="2293" w:type="dxa"/>
          </w:tcPr>
          <w:p w:rsidR="00CD451F" w:rsidRDefault="00CD451F" w:rsidP="00657D3E">
            <w:pPr>
              <w:spacing w:line="440" w:lineRule="exact"/>
              <w:rPr>
                <w:rFonts w:ascii="仿宋" w:eastAsia="仿宋" w:hAnsi="仿宋" w:cs="仿宋"/>
                <w:b/>
                <w:bCs/>
                <w:sz w:val="24"/>
              </w:rPr>
            </w:pPr>
            <w:bookmarkStart w:id="13" w:name="_Toc3194651"/>
            <w:bookmarkStart w:id="14" w:name="_Toc21939267"/>
            <w:bookmarkStart w:id="15" w:name="_Toc23771827"/>
            <w:bookmarkStart w:id="16" w:name="_Toc6842365"/>
            <w:bookmarkStart w:id="17" w:name="_Toc23181163"/>
            <w:bookmarkStart w:id="18" w:name="_Toc21939823"/>
            <w:bookmarkStart w:id="19" w:name="_Toc1476428"/>
            <w:bookmarkStart w:id="20" w:name="_Toc24377662"/>
            <w:r>
              <w:rPr>
                <w:rFonts w:ascii="仿宋" w:eastAsia="仿宋" w:hAnsi="仿宋" w:hint="eastAsia"/>
                <w:sz w:val="24"/>
              </w:rPr>
              <w:lastRenderedPageBreak/>
              <w:t>操作工负责污水站日常水质监测、加药、配合突击检查、设备日常维护、污水站环境卫生、配合采水样、台账的登记、在线流量数据的监测（缺数据需要补传数据）等</w:t>
            </w:r>
          </w:p>
        </w:tc>
        <w:tc>
          <w:tcPr>
            <w:tcW w:w="2490" w:type="dxa"/>
          </w:tcPr>
          <w:p w:rsidR="00CD451F" w:rsidRDefault="00CD451F" w:rsidP="00657D3E">
            <w:pPr>
              <w:adjustRightInd w:val="0"/>
              <w:spacing w:line="360" w:lineRule="auto"/>
              <w:ind w:right="-64"/>
              <w:textAlignment w:val="baseline"/>
              <w:rPr>
                <w:rFonts w:ascii="仿宋" w:eastAsia="仿宋" w:hAnsi="仿宋"/>
                <w:sz w:val="24"/>
              </w:rPr>
            </w:pPr>
            <w:r>
              <w:rPr>
                <w:rFonts w:ascii="仿宋" w:eastAsia="仿宋" w:hAnsi="仿宋" w:cs="仿宋" w:hint="eastAsia"/>
                <w:sz w:val="24"/>
                <w:lang w:bidi="ar"/>
              </w:rPr>
              <w:t>负责污水站各设备的安装、维修（水泵、流量计、罗茨风机、空压机、加药泵、压虑机、电控等）、保养、水质调整、工艺调试、污水站应急事项的处理等。</w:t>
            </w:r>
          </w:p>
          <w:p w:rsidR="00CD451F" w:rsidRDefault="00CD451F" w:rsidP="00657D3E">
            <w:pPr>
              <w:spacing w:line="440" w:lineRule="exact"/>
              <w:rPr>
                <w:rFonts w:ascii="仿宋" w:eastAsia="仿宋" w:hAnsi="仿宋" w:cs="仿宋"/>
                <w:b/>
                <w:bCs/>
                <w:sz w:val="24"/>
              </w:rPr>
            </w:pPr>
          </w:p>
        </w:tc>
        <w:tc>
          <w:tcPr>
            <w:tcW w:w="2237" w:type="dxa"/>
          </w:tcPr>
          <w:p w:rsidR="00CD451F" w:rsidRDefault="00CD451F" w:rsidP="00657D3E">
            <w:pPr>
              <w:spacing w:line="440" w:lineRule="exact"/>
              <w:rPr>
                <w:rFonts w:ascii="仿宋" w:eastAsia="仿宋" w:hAnsi="仿宋" w:cs="仿宋"/>
                <w:b/>
                <w:bCs/>
                <w:sz w:val="24"/>
              </w:rPr>
            </w:pPr>
            <w:r>
              <w:rPr>
                <w:rFonts w:ascii="仿宋" w:eastAsia="仿宋" w:hAnsi="仿宋" w:hint="eastAsia"/>
                <w:sz w:val="24"/>
              </w:rPr>
              <w:t>整个项目的生态环境局事项对接（如环保政策有变动，需要对接区或市生态环境局），人员培训、劳务管理、考勤管理、工作质量检查监督、协助甲方填报各大平台的排污数据、披露（详见附件4），落实院内对项目的日常管理服务、环保问题等。</w:t>
            </w:r>
          </w:p>
        </w:tc>
        <w:tc>
          <w:tcPr>
            <w:tcW w:w="3398" w:type="dxa"/>
          </w:tcPr>
          <w:p w:rsidR="00CD451F" w:rsidRDefault="00CD451F" w:rsidP="00657D3E">
            <w:pPr>
              <w:spacing w:line="440" w:lineRule="exact"/>
              <w:jc w:val="left"/>
              <w:rPr>
                <w:rFonts w:ascii="仿宋" w:eastAsia="仿宋" w:hAnsi="仿宋" w:cs="仿宋"/>
                <w:b/>
                <w:bCs/>
                <w:sz w:val="24"/>
              </w:rPr>
            </w:pPr>
            <w:r>
              <w:rPr>
                <w:rFonts w:ascii="仿宋_GB2312" w:eastAsia="仿宋_GB2312" w:hAnsi="Arial" w:hint="eastAsia"/>
                <w:sz w:val="24"/>
              </w:rPr>
              <w:t>协助乙方污水站运行、应急（</w:t>
            </w:r>
            <w:r>
              <w:rPr>
                <w:rFonts w:ascii="仿宋" w:eastAsia="仿宋" w:hAnsi="仿宋" w:hint="eastAsia"/>
                <w:sz w:val="24"/>
              </w:rPr>
              <w:t>如污水站日常水质监测、加药、配合突击检查、设备日常维护、污水站环境卫生、节假日轮休顶班，配合采水样、台账的登记、在线流量数据的监测（缺数据需要补传数据）等；双方配合环保部门要求各大平台的数据填报、披露、应急等</w:t>
            </w:r>
          </w:p>
        </w:tc>
      </w:tr>
    </w:tbl>
    <w:p w:rsidR="00CD451F" w:rsidRDefault="00CD451F" w:rsidP="00CD451F">
      <w:pPr>
        <w:spacing w:line="440" w:lineRule="exact"/>
        <w:ind w:firstLineChars="200" w:firstLine="640"/>
        <w:jc w:val="center"/>
        <w:rPr>
          <w:rFonts w:ascii="仿宋" w:eastAsia="仿宋" w:hAnsi="仿宋"/>
          <w:sz w:val="32"/>
          <w:szCs w:val="32"/>
        </w:rPr>
      </w:pPr>
    </w:p>
    <w:p w:rsidR="00CD451F" w:rsidRDefault="00CD451F" w:rsidP="00CD451F">
      <w:pPr>
        <w:spacing w:line="440" w:lineRule="exact"/>
        <w:ind w:firstLineChars="200" w:firstLine="640"/>
        <w:jc w:val="center"/>
        <w:rPr>
          <w:rFonts w:ascii="仿宋" w:eastAsia="仿宋" w:hAnsi="仿宋" w:cs="仿宋"/>
          <w:b/>
          <w:bCs/>
          <w:sz w:val="32"/>
          <w:szCs w:val="32"/>
        </w:rPr>
      </w:pPr>
      <w:bookmarkStart w:id="21" w:name="_GoBack"/>
      <w:bookmarkEnd w:id="21"/>
      <w:r>
        <w:rPr>
          <w:rFonts w:ascii="仿宋" w:eastAsia="仿宋" w:hAnsi="仿宋" w:hint="eastAsia"/>
          <w:sz w:val="32"/>
          <w:szCs w:val="32"/>
        </w:rPr>
        <w:t>职责分配表</w:t>
      </w:r>
    </w:p>
    <w:p w:rsidR="00CD451F" w:rsidRDefault="00CD451F" w:rsidP="00CD451F">
      <w:pPr>
        <w:spacing w:line="440" w:lineRule="exact"/>
        <w:ind w:firstLineChars="200" w:firstLine="482"/>
        <w:rPr>
          <w:rFonts w:ascii="仿宋" w:eastAsia="仿宋" w:hAnsi="仿宋" w:cs="仿宋"/>
          <w:b/>
          <w:bCs/>
          <w:sz w:val="24"/>
        </w:rPr>
      </w:pPr>
    </w:p>
    <w:p w:rsidR="00CD451F" w:rsidRDefault="00CD451F" w:rsidP="00CD451F">
      <w:pPr>
        <w:spacing w:line="440" w:lineRule="exact"/>
        <w:ind w:firstLineChars="200" w:firstLine="482"/>
        <w:rPr>
          <w:rFonts w:ascii="仿宋" w:eastAsia="仿宋" w:hAnsi="仿宋" w:cs="仿宋"/>
          <w:b/>
          <w:bCs/>
          <w:sz w:val="24"/>
        </w:rPr>
      </w:pPr>
    </w:p>
    <w:p w:rsidR="00302BBC" w:rsidRPr="00CD451F" w:rsidRDefault="00302BBC">
      <w:pPr>
        <w:pStyle w:val="a4"/>
        <w:widowControl/>
        <w:spacing w:beforeAutospacing="0" w:afterAutospacing="0" w:line="480" w:lineRule="auto"/>
        <w:ind w:firstLine="420"/>
        <w:rPr>
          <w:rFonts w:ascii="Tahoma" w:eastAsia="Tahoma" w:hAnsi="Tahoma" w:cs="Tahoma"/>
          <w:shd w:val="clear" w:color="auto" w:fill="FFFFFF"/>
        </w:rPr>
      </w:pP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1、 建立台账</w:t>
      </w:r>
      <w:bookmarkEnd w:id="13"/>
      <w:bookmarkEnd w:id="14"/>
      <w:bookmarkEnd w:id="15"/>
      <w:bookmarkEnd w:id="16"/>
      <w:bookmarkEnd w:id="17"/>
      <w:bookmarkEnd w:id="18"/>
      <w:bookmarkEnd w:id="19"/>
      <w:bookmarkEnd w:id="20"/>
      <w:r>
        <w:rPr>
          <w:rFonts w:ascii="Tahoma" w:eastAsia="Tahoma" w:hAnsi="Tahoma" w:cs="Tahoma" w:hint="eastAsia"/>
          <w:noProof/>
          <w:shd w:val="clear" w:color="auto" w:fill="FFFFFF"/>
        </w:rPr>
        <w:drawing>
          <wp:inline distT="0" distB="0" distL="114300" distR="114300">
            <wp:extent cx="5269865" cy="7420610"/>
            <wp:effectExtent l="0" t="0" r="6985" b="8890"/>
            <wp:docPr id="3" name="图片 3" descr="17151616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5161656653"/>
                    <pic:cNvPicPr>
                      <a:picLocks noChangeAspect="1"/>
                    </pic:cNvPicPr>
                  </pic:nvPicPr>
                  <pic:blipFill>
                    <a:blip r:embed="rId8"/>
                    <a:stretch>
                      <a:fillRect/>
                    </a:stretch>
                  </pic:blipFill>
                  <pic:spPr>
                    <a:xfrm>
                      <a:off x="0" y="0"/>
                      <a:ext cx="5269865" cy="7420610"/>
                    </a:xfrm>
                    <a:prstGeom prst="rect">
                      <a:avLst/>
                    </a:prstGeom>
                  </pic:spPr>
                </pic:pic>
              </a:graphicData>
            </a:graphic>
          </wp:inline>
        </w:drawing>
      </w:r>
      <w:r>
        <w:rPr>
          <w:rFonts w:ascii="Tahoma" w:eastAsia="Tahoma" w:hAnsi="Tahoma" w:cs="Tahoma" w:hint="eastAsia"/>
          <w:noProof/>
          <w:shd w:val="clear" w:color="auto" w:fill="FFFFFF"/>
        </w:rPr>
        <w:lastRenderedPageBreak/>
        <w:drawing>
          <wp:inline distT="0" distB="0" distL="114300" distR="114300">
            <wp:extent cx="5381625" cy="6410325"/>
            <wp:effectExtent l="0" t="0" r="9525" b="9525"/>
            <wp:docPr id="4" name="图片 4" descr="171516174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5161743886"/>
                    <pic:cNvPicPr>
                      <a:picLocks noChangeAspect="1"/>
                    </pic:cNvPicPr>
                  </pic:nvPicPr>
                  <pic:blipFill>
                    <a:blip r:embed="rId9"/>
                    <a:stretch>
                      <a:fillRect/>
                    </a:stretch>
                  </pic:blipFill>
                  <pic:spPr>
                    <a:xfrm>
                      <a:off x="0" y="0"/>
                      <a:ext cx="5381625" cy="6410325"/>
                    </a:xfrm>
                    <a:prstGeom prst="rect">
                      <a:avLst/>
                    </a:prstGeom>
                  </pic:spPr>
                </pic:pic>
              </a:graphicData>
            </a:graphic>
          </wp:inline>
        </w:drawing>
      </w:r>
      <w:r>
        <w:rPr>
          <w:rFonts w:ascii="Tahoma" w:eastAsia="Tahoma" w:hAnsi="Tahoma" w:cs="Tahoma"/>
          <w:noProof/>
          <w:shd w:val="clear" w:color="auto" w:fill="FFFFFF"/>
        </w:rPr>
        <w:lastRenderedPageBreak/>
        <w:drawing>
          <wp:inline distT="0" distB="0" distL="114300" distR="114300">
            <wp:extent cx="5467350" cy="7860665"/>
            <wp:effectExtent l="0" t="0" r="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467350" cy="7860665"/>
                    </a:xfrm>
                    <a:prstGeom prst="rect">
                      <a:avLst/>
                    </a:prstGeom>
                    <a:noFill/>
                    <a:ln>
                      <a:noFill/>
                    </a:ln>
                  </pic:spPr>
                </pic:pic>
              </a:graphicData>
            </a:graphic>
          </wp:inline>
        </w:drawing>
      </w:r>
    </w:p>
    <w:p w:rsidR="00302BBC" w:rsidRDefault="00302BBC">
      <w:pPr>
        <w:pStyle w:val="a4"/>
        <w:widowControl/>
        <w:spacing w:beforeAutospacing="0" w:afterAutospacing="0" w:line="480" w:lineRule="auto"/>
        <w:ind w:firstLine="420"/>
        <w:rPr>
          <w:rFonts w:ascii="Tahoma" w:eastAsia="Tahoma" w:hAnsi="Tahoma" w:cs="Tahoma"/>
          <w:shd w:val="clear" w:color="auto" w:fill="FFFFFF"/>
        </w:rPr>
      </w:pP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bookmarkStart w:id="22" w:name="_Toc23771828"/>
      <w:bookmarkStart w:id="23" w:name="_Toc21939268"/>
      <w:bookmarkStart w:id="24" w:name="_Toc1476429"/>
      <w:bookmarkStart w:id="25" w:name="_Toc24377663"/>
      <w:bookmarkStart w:id="26" w:name="_Toc3194652"/>
      <w:bookmarkStart w:id="27" w:name="_Toc23181164"/>
      <w:bookmarkStart w:id="28" w:name="_Toc6842366"/>
      <w:bookmarkStart w:id="29" w:name="_Toc21939824"/>
      <w:r>
        <w:rPr>
          <w:rFonts w:ascii="Tahoma" w:eastAsia="Tahoma" w:hAnsi="Tahoma" w:cs="Tahoma"/>
          <w:shd w:val="clear" w:color="auto" w:fill="FFFFFF"/>
        </w:rPr>
        <w:br w:type="page"/>
      </w:r>
    </w:p>
    <w:p w:rsidR="00302BBC" w:rsidRDefault="00302BBC">
      <w:pPr>
        <w:pStyle w:val="a4"/>
        <w:widowControl/>
        <w:spacing w:beforeAutospacing="0" w:afterAutospacing="0" w:line="480" w:lineRule="auto"/>
        <w:ind w:firstLine="420"/>
        <w:rPr>
          <w:rFonts w:ascii="Tahoma" w:eastAsia="Tahoma" w:hAnsi="Tahoma" w:cs="Tahoma"/>
          <w:shd w:val="clear" w:color="auto" w:fill="FFFFFF"/>
        </w:rPr>
        <w:sectPr w:rsidR="00302BBC">
          <w:pgSz w:w="11906" w:h="16838"/>
          <w:pgMar w:top="1440" w:right="1800" w:bottom="1440" w:left="1800" w:header="851" w:footer="992" w:gutter="0"/>
          <w:cols w:space="425"/>
          <w:docGrid w:type="lines" w:linePitch="312"/>
        </w:sectPr>
      </w:pPr>
    </w:p>
    <w:p w:rsidR="00302BBC" w:rsidRDefault="000D42A3">
      <w:pPr>
        <w:pStyle w:val="a4"/>
        <w:widowControl/>
        <w:spacing w:beforeAutospacing="0" w:afterAutospacing="0" w:line="480" w:lineRule="auto"/>
        <w:ind w:firstLine="420"/>
        <w:rPr>
          <w:rFonts w:ascii="Tahoma" w:eastAsia="Tahoma" w:hAnsi="Tahoma" w:cs="Tahoma"/>
          <w:shd w:val="clear" w:color="auto" w:fill="FFFFFF"/>
        </w:rPr>
        <w:sectPr w:rsidR="00302BBC">
          <w:pgSz w:w="16838" w:h="11906" w:orient="landscape"/>
          <w:pgMar w:top="1800" w:right="1440" w:bottom="1800" w:left="1440" w:header="851" w:footer="992" w:gutter="0"/>
          <w:cols w:space="425"/>
          <w:docGrid w:type="lines" w:linePitch="312"/>
        </w:sectPr>
      </w:pPr>
      <w:r>
        <w:rPr>
          <w:rFonts w:ascii="Tahoma" w:eastAsia="Tahoma" w:hAnsi="Tahoma" w:cs="Tahoma"/>
          <w:noProof/>
          <w:shd w:val="clear" w:color="auto" w:fill="FFFFFF"/>
        </w:rPr>
        <w:lastRenderedPageBreak/>
        <w:drawing>
          <wp:anchor distT="0" distB="0" distL="114300" distR="114300" simplePos="0" relativeHeight="251659264" behindDoc="0" locked="0" layoutInCell="1" allowOverlap="1">
            <wp:simplePos x="0" y="0"/>
            <wp:positionH relativeFrom="column">
              <wp:posOffset>-609600</wp:posOffset>
            </wp:positionH>
            <wp:positionV relativeFrom="paragraph">
              <wp:posOffset>-226695</wp:posOffset>
            </wp:positionV>
            <wp:extent cx="9486265" cy="6469380"/>
            <wp:effectExtent l="0" t="0" r="63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486265" cy="6469380"/>
                    </a:xfrm>
                    <a:prstGeom prst="rect">
                      <a:avLst/>
                    </a:prstGeom>
                    <a:noFill/>
                    <a:ln>
                      <a:noFill/>
                    </a:ln>
                  </pic:spPr>
                </pic:pic>
              </a:graphicData>
            </a:graphic>
          </wp:anchor>
        </w:drawing>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2、 建立台账保存消耗品使用记录</w:t>
      </w:r>
      <w:bookmarkEnd w:id="22"/>
      <w:bookmarkEnd w:id="23"/>
      <w:bookmarkEnd w:id="24"/>
      <w:bookmarkEnd w:id="25"/>
      <w:bookmarkEnd w:id="26"/>
      <w:bookmarkEnd w:id="27"/>
      <w:bookmarkEnd w:id="28"/>
      <w:bookmarkEnd w:id="29"/>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A、详细统计消耗品的数量、型号、购买地点及方式等</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B、及时购买、备存各类消耗品</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C、密切注意消耗品市场行情</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D、做好消耗品入出库管理工作</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bookmarkStart w:id="30" w:name="_Toc1476430"/>
      <w:bookmarkStart w:id="31" w:name="_Toc21939825"/>
      <w:bookmarkStart w:id="32" w:name="_Toc6842367"/>
      <w:bookmarkStart w:id="33" w:name="_Toc24377664"/>
      <w:bookmarkStart w:id="34" w:name="_Toc3194653"/>
      <w:bookmarkStart w:id="35" w:name="_Toc23771829"/>
      <w:bookmarkStart w:id="36" w:name="_Toc21939269"/>
      <w:bookmarkStart w:id="37" w:name="_Toc23181165"/>
      <w:r>
        <w:rPr>
          <w:rFonts w:ascii="Tahoma" w:eastAsia="Tahoma" w:hAnsi="Tahoma" w:cs="Tahoma" w:hint="eastAsia"/>
          <w:shd w:val="clear" w:color="auto" w:fill="FFFFFF"/>
        </w:rPr>
        <w:t>3、 建立台账取样监测分析</w:t>
      </w:r>
      <w:bookmarkEnd w:id="30"/>
      <w:bookmarkEnd w:id="31"/>
      <w:bookmarkEnd w:id="32"/>
      <w:bookmarkEnd w:id="33"/>
      <w:bookmarkEnd w:id="34"/>
      <w:bookmarkEnd w:id="35"/>
      <w:bookmarkEnd w:id="36"/>
      <w:bookmarkEnd w:id="37"/>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每班采样一份，分析水中的PH、余氯值等，采取污水处理进出水各一份，采样要求及时、认真如实记录。</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A、制定完善的监测分析制度</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B、监测分析做到及时、准确、可靠、真正能指导实际操作</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C、如实记录、认真分析、发现问题要立即解决并及时反馈</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D、加强监测分析仪器设备、药品的使用和管理工作</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bookmarkStart w:id="38" w:name="_Toc23181166"/>
      <w:bookmarkStart w:id="39" w:name="_Toc1476431"/>
      <w:bookmarkStart w:id="40" w:name="_Toc23771830"/>
      <w:bookmarkStart w:id="41" w:name="_Toc3194654"/>
      <w:bookmarkStart w:id="42" w:name="_Toc6842368"/>
      <w:bookmarkStart w:id="43" w:name="_Toc21939270"/>
      <w:bookmarkStart w:id="44" w:name="_Toc21939826"/>
      <w:bookmarkStart w:id="45" w:name="_Toc24377665"/>
      <w:r>
        <w:rPr>
          <w:rFonts w:ascii="Tahoma" w:eastAsia="Tahoma" w:hAnsi="Tahoma" w:cs="Tahoma" w:hint="eastAsia"/>
          <w:shd w:val="clear" w:color="auto" w:fill="FFFFFF"/>
        </w:rPr>
        <w:t>4、 运行记录管理制度</w:t>
      </w:r>
      <w:bookmarkEnd w:id="38"/>
      <w:bookmarkEnd w:id="39"/>
      <w:bookmarkEnd w:id="40"/>
      <w:bookmarkEnd w:id="41"/>
      <w:bookmarkEnd w:id="42"/>
      <w:bookmarkEnd w:id="43"/>
      <w:bookmarkEnd w:id="44"/>
      <w:bookmarkEnd w:id="45"/>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A.技术文件实施档案管理，各站形成的技术文件材料积累整理，归档纳入各站责任范围，现场记录现场及时填写，专业维护人员签字；</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B.文件归档及时、准确，避免有重要档案丢失破损；</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C.文件档案必须做到随时查阅和了解仪器设备的使用、维修和性能检验等全部历史资料；</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D.技术文件档案对入库的档案进行收集、分类、整理、编号、编目、立卷、登记、建账，与账物相符；</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E.与仪器相关的记录放置在现场，所有记录必须妥善保存，实行计算机管理归档；</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lastRenderedPageBreak/>
        <w:t>F.各站形成的技术文件材料，按一个技术项目进行配套，加以系统管理，组成案卷，填写保管期限，注明密级，经技术负责人审查后，集中统一管理，任何人不得据为己有；</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G.已归档技术图纸、说明书的修改、补充事先需请示领导，履行审批手续，并做好标识；</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H.建立技术档案的收进、移出总登记簿和分类登记簿，及时登记；编制检索工具，做好档案的借阅、查阅登记和利用工作，每年年末，要对技术档案的数量、利用情况进行统计。</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I.档案管理人员必须认真做好技术档案的八防工作（即防火、防盗、防潮、防晒、防鼠、防尘、防污染、防蛀），定期检查，发现问题，及时处理。保持库房和办公室的整洁卫生。</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J.技术档案管理实行专人管理、专人负责制度。库房管理人员工作变动时，必须办理交接手续。</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K.档案中的表格应采用统一的标准表格。</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L.记录应清晰、完整，现场记录应在现场及时填写，有专业维护人员的签字。</w:t>
      </w:r>
    </w:p>
    <w:p w:rsidR="00302BBC" w:rsidRDefault="000D42A3">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M.可从技术档案中查阅和了解仪器设备的使用、维修和性能检验等全部历史资料，以对运行的各台仪器设备做出正确评价。</w:t>
      </w:r>
    </w:p>
    <w:p w:rsidR="00302BBC" w:rsidRPr="0017764B" w:rsidRDefault="000D42A3" w:rsidP="0017764B">
      <w:pPr>
        <w:pStyle w:val="a4"/>
        <w:widowControl/>
        <w:spacing w:beforeAutospacing="0" w:afterAutospacing="0" w:line="480" w:lineRule="auto"/>
        <w:ind w:firstLine="420"/>
        <w:rPr>
          <w:rFonts w:ascii="Tahoma" w:eastAsia="Tahoma" w:hAnsi="Tahoma" w:cs="Tahoma"/>
          <w:shd w:val="clear" w:color="auto" w:fill="FFFFFF"/>
        </w:rPr>
      </w:pPr>
      <w:r>
        <w:rPr>
          <w:rFonts w:ascii="Tahoma" w:eastAsia="Tahoma" w:hAnsi="Tahoma" w:cs="Tahoma" w:hint="eastAsia"/>
          <w:shd w:val="clear" w:color="auto" w:fill="FFFFFF"/>
        </w:rPr>
        <w:t>N.</w:t>
      </w:r>
      <w:r w:rsidRPr="0017764B">
        <w:rPr>
          <w:rFonts w:ascii="Microsoft YaHei UI" w:eastAsia="Microsoft YaHei UI" w:hAnsi="Microsoft YaHei UI" w:cs="Microsoft YaHei UI" w:hint="eastAsia"/>
          <w:shd w:val="clear" w:color="auto" w:fill="FFFFFF"/>
        </w:rPr>
        <w:t>与仪器相关的记录可放置在现场，所有记录均应妥善保存。</w:t>
      </w:r>
    </w:p>
    <w:sectPr w:rsidR="00302BBC" w:rsidRPr="001776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0F" w:rsidRDefault="007A210F" w:rsidP="00CD451F">
      <w:r>
        <w:separator/>
      </w:r>
    </w:p>
  </w:endnote>
  <w:endnote w:type="continuationSeparator" w:id="0">
    <w:p w:rsidR="007A210F" w:rsidRDefault="007A210F" w:rsidP="00CD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汉仪劲楷简">
    <w:altName w:val="宋体"/>
    <w:charset w:val="86"/>
    <w:family w:val="auto"/>
    <w:pitch w:val="default"/>
    <w:sig w:usb0="00000000" w:usb1="00000000" w:usb2="00000016"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0F" w:rsidRDefault="007A210F" w:rsidP="00CD451F">
      <w:r>
        <w:separator/>
      </w:r>
    </w:p>
  </w:footnote>
  <w:footnote w:type="continuationSeparator" w:id="0">
    <w:p w:rsidR="007A210F" w:rsidRDefault="007A210F" w:rsidP="00CD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12617"/>
    <w:multiLevelType w:val="multilevel"/>
    <w:tmpl w:val="39A12617"/>
    <w:lvl w:ilvl="0">
      <w:start w:val="1"/>
      <w:numFmt w:val="decimal"/>
      <w:lvlText w:val="%1."/>
      <w:lvlJc w:val="left"/>
      <w:pPr>
        <w:ind w:left="420" w:hanging="420"/>
      </w:pPr>
      <w:rPr>
        <w:rFonts w:ascii="宋体" w:eastAsia="宋体" w:hAnsi="宋体" w:cs="Times New Roman" w:hint="eastAsia"/>
        <w:b/>
        <w:color w:val="auto"/>
        <w:sz w:val="21"/>
        <w:szCs w:val="21"/>
      </w:rPr>
    </w:lvl>
    <w:lvl w:ilvl="1">
      <w:start w:val="1"/>
      <w:numFmt w:val="decimalEnclosedCircle"/>
      <w:lvlText w:val="%2"/>
      <w:lvlJc w:val="left"/>
      <w:pPr>
        <w:ind w:left="1050" w:hanging="63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7D1627"/>
    <w:multiLevelType w:val="multilevel"/>
    <w:tmpl w:val="497D1627"/>
    <w:lvl w:ilvl="0">
      <w:start w:val="1"/>
      <w:numFmt w:val="decimal"/>
      <w:lvlText w:val="2.%1."/>
      <w:lvlJc w:val="left"/>
      <w:pPr>
        <w:ind w:left="420" w:hanging="420"/>
      </w:pPr>
      <w:rPr>
        <w:rFonts w:ascii="宋体" w:eastAsia="宋体" w:hAnsi="宋体" w:cs="Times New Roman" w:hint="eastAsia"/>
        <w:color w:val="auto"/>
        <w:sz w:val="21"/>
        <w:szCs w:val="21"/>
      </w:rPr>
    </w:lvl>
    <w:lvl w:ilvl="1">
      <w:start w:val="1"/>
      <w:numFmt w:val="decimalEnclosedCircle"/>
      <w:lvlText w:val="%2"/>
      <w:lvlJc w:val="left"/>
      <w:pPr>
        <w:ind w:left="1050" w:hanging="63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NzcyZWNmMjgzNGNjMGU1NWRhNmU1MTkzOGQ1MzIifQ=="/>
  </w:docVars>
  <w:rsids>
    <w:rsidRoot w:val="24BF65E5"/>
    <w:rsid w:val="000D42A3"/>
    <w:rsid w:val="0017764B"/>
    <w:rsid w:val="001A28C1"/>
    <w:rsid w:val="001C03AB"/>
    <w:rsid w:val="001F7ACF"/>
    <w:rsid w:val="002D079E"/>
    <w:rsid w:val="00302BBC"/>
    <w:rsid w:val="007A210F"/>
    <w:rsid w:val="008F12FB"/>
    <w:rsid w:val="00974CE2"/>
    <w:rsid w:val="00B6029A"/>
    <w:rsid w:val="00CD451F"/>
    <w:rsid w:val="00DA3E29"/>
    <w:rsid w:val="00E14FE6"/>
    <w:rsid w:val="00F27329"/>
    <w:rsid w:val="0B6E61F1"/>
    <w:rsid w:val="24BF65E5"/>
    <w:rsid w:val="45FB105F"/>
    <w:rsid w:val="47796498"/>
    <w:rsid w:val="4B6A2674"/>
    <w:rsid w:val="50E336C1"/>
    <w:rsid w:val="61066A6B"/>
    <w:rsid w:val="6781265A"/>
    <w:rsid w:val="6AF4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637DD1-83E5-49AD-88CE-47E2752D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tabs>
        <w:tab w:val="left" w:pos="0"/>
      </w:tabs>
      <w:spacing w:before="100" w:after="100" w:line="480" w:lineRule="auto"/>
      <w:ind w:firstLine="402"/>
      <w:jc w:val="center"/>
      <w:outlineLvl w:val="0"/>
    </w:pPr>
    <w:rPr>
      <w:rFonts w:ascii="宋体" w:eastAsia="宋体" w:hAnsi="宋体" w:cs="宋体"/>
      <w:b/>
      <w:bCs/>
      <w:sz w:val="44"/>
      <w:szCs w:val="31"/>
      <w:u w:color="000000"/>
      <w:lang w:val="zh-CN" w:bidi="zh-CN"/>
    </w:rPr>
  </w:style>
  <w:style w:type="paragraph" w:styleId="2">
    <w:name w:val="heading 2"/>
    <w:basedOn w:val="a"/>
    <w:next w:val="a"/>
    <w:autoRedefine/>
    <w:unhideWhenUsed/>
    <w:qFormat/>
    <w:rsid w:val="000D42A3"/>
    <w:pPr>
      <w:widowControl/>
      <w:shd w:val="clear" w:color="auto" w:fill="FFFFFF"/>
      <w:spacing w:line="30" w:lineRule="atLeast"/>
      <w:jc w:val="center"/>
      <w:outlineLvl w:val="1"/>
    </w:pPr>
    <w:rPr>
      <w:rFonts w:ascii="微软雅黑" w:eastAsia="微软雅黑" w:hAnsi="微软雅黑" w:cs="微软雅黑"/>
      <w:kern w:val="0"/>
      <w:sz w:val="52"/>
      <w:szCs w:val="52"/>
      <w:shd w:val="clear" w:color="auto" w:fill="FFFFFF"/>
    </w:rPr>
  </w:style>
  <w:style w:type="paragraph" w:styleId="4">
    <w:name w:val="heading 4"/>
    <w:basedOn w:val="a"/>
    <w:next w:val="a"/>
    <w:semiHidden/>
    <w:unhideWhenUsed/>
    <w:qFormat/>
    <w:pPr>
      <w:adjustRightInd w:val="0"/>
      <w:snapToGrid w:val="0"/>
      <w:spacing w:beforeLines="20" w:before="20" w:afterLines="20" w:after="20" w:line="360" w:lineRule="auto"/>
      <w:outlineLvl w:val="3"/>
    </w:pPr>
    <w:rPr>
      <w:rFonts w:ascii="汉仪劲楷简" w:eastAsia="仿宋" w:hAnsi="汉仪劲楷简"/>
      <w:b/>
      <w:bCs/>
    </w:rPr>
  </w:style>
  <w:style w:type="paragraph" w:styleId="5">
    <w:name w:val="heading 5"/>
    <w:basedOn w:val="a"/>
    <w:next w:val="a"/>
    <w:autoRedefine/>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Normal (Web)"/>
    <w:basedOn w:val="a"/>
    <w:autoRedefine/>
    <w:qFormat/>
    <w:pPr>
      <w:spacing w:beforeAutospacing="1" w:afterAutospacing="1"/>
      <w:jc w:val="left"/>
    </w:pPr>
    <w:rPr>
      <w:rFonts w:cs="Times New Roman"/>
      <w:kern w:val="0"/>
      <w:sz w:val="24"/>
    </w:rPr>
  </w:style>
  <w:style w:type="character" w:styleId="a5">
    <w:name w:val="Strong"/>
    <w:basedOn w:val="a0"/>
    <w:autoRedefine/>
    <w:qFormat/>
    <w:rPr>
      <w:b/>
    </w:rPr>
  </w:style>
  <w:style w:type="character" w:customStyle="1" w:styleId="1Char">
    <w:name w:val="标题 1 Char"/>
    <w:link w:val="1"/>
    <w:autoRedefine/>
    <w:qFormat/>
    <w:rPr>
      <w:rFonts w:ascii="宋体" w:eastAsia="宋体" w:hAnsi="宋体" w:cs="宋体"/>
      <w:b/>
      <w:bCs/>
      <w:sz w:val="44"/>
      <w:szCs w:val="31"/>
      <w:u w:val="none" w:color="000000"/>
      <w:lang w:val="zh-CN" w:bidi="zh-CN"/>
    </w:rPr>
  </w:style>
  <w:style w:type="paragraph" w:customStyle="1" w:styleId="50">
    <w:name w:val="标题 5（无编号）（绿盟科技）"/>
    <w:basedOn w:val="5"/>
    <w:autoRedefine/>
    <w:qFormat/>
    <w:pPr>
      <w:tabs>
        <w:tab w:val="left" w:pos="1232"/>
      </w:tabs>
      <w:spacing w:after="156" w:line="377" w:lineRule="auto"/>
    </w:pPr>
    <w:rPr>
      <w:rFonts w:ascii="Arial" w:eastAsia="黑体" w:hAnsi="Arial" w:cstheme="minorBidi"/>
      <w:sz w:val="24"/>
    </w:rPr>
  </w:style>
  <w:style w:type="character" w:customStyle="1" w:styleId="apple-style-span">
    <w:name w:val="apple-style-span"/>
    <w:autoRedefine/>
    <w:qFormat/>
  </w:style>
  <w:style w:type="paragraph" w:styleId="a6">
    <w:name w:val="List Paragraph"/>
    <w:basedOn w:val="a"/>
    <w:uiPriority w:val="34"/>
    <w:qFormat/>
    <w:rsid w:val="00F27329"/>
    <w:pPr>
      <w:ind w:firstLineChars="200" w:firstLine="420"/>
    </w:pPr>
    <w:rPr>
      <w:rFonts w:ascii="Calibri" w:eastAsia="宋体" w:hAnsi="Calibri" w:cs="Times New Roman"/>
      <w:szCs w:val="22"/>
    </w:rPr>
  </w:style>
  <w:style w:type="paragraph" w:customStyle="1" w:styleId="10">
    <w:name w:val="列出段落1"/>
    <w:basedOn w:val="a"/>
    <w:uiPriority w:val="99"/>
    <w:qFormat/>
    <w:rsid w:val="00F27329"/>
    <w:pPr>
      <w:ind w:firstLineChars="200" w:firstLine="420"/>
    </w:pPr>
    <w:rPr>
      <w:rFonts w:ascii="Times New Roman" w:eastAsia="宋体" w:hAnsi="Times New Roman" w:cs="Times New Roman"/>
      <w:szCs w:val="21"/>
    </w:rPr>
  </w:style>
  <w:style w:type="paragraph" w:styleId="a7">
    <w:name w:val="header"/>
    <w:basedOn w:val="a"/>
    <w:link w:val="Char"/>
    <w:rsid w:val="00CD45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D451F"/>
    <w:rPr>
      <w:rFonts w:asciiTheme="minorHAnsi" w:eastAsiaTheme="minorEastAsia" w:hAnsiTheme="minorHAnsi" w:cstheme="minorBidi"/>
      <w:kern w:val="2"/>
      <w:sz w:val="18"/>
      <w:szCs w:val="18"/>
    </w:rPr>
  </w:style>
  <w:style w:type="paragraph" w:styleId="a8">
    <w:name w:val="footer"/>
    <w:basedOn w:val="a"/>
    <w:link w:val="Char0"/>
    <w:rsid w:val="00CD451F"/>
    <w:pPr>
      <w:tabs>
        <w:tab w:val="center" w:pos="4153"/>
        <w:tab w:val="right" w:pos="8306"/>
      </w:tabs>
      <w:snapToGrid w:val="0"/>
      <w:jc w:val="left"/>
    </w:pPr>
    <w:rPr>
      <w:sz w:val="18"/>
      <w:szCs w:val="18"/>
    </w:rPr>
  </w:style>
  <w:style w:type="character" w:customStyle="1" w:styleId="Char0">
    <w:name w:val="页脚 Char"/>
    <w:basedOn w:val="a0"/>
    <w:link w:val="a8"/>
    <w:rsid w:val="00CD451F"/>
    <w:rPr>
      <w:rFonts w:asciiTheme="minorHAnsi" w:eastAsiaTheme="minorEastAsia" w:hAnsiTheme="minorHAnsi" w:cstheme="minorBidi"/>
      <w:kern w:val="2"/>
      <w:sz w:val="18"/>
      <w:szCs w:val="18"/>
    </w:rPr>
  </w:style>
  <w:style w:type="table" w:styleId="a9">
    <w:name w:val="Table Grid"/>
    <w:basedOn w:val="a1"/>
    <w:uiPriority w:val="39"/>
    <w:qFormat/>
    <w:rsid w:val="00CD451F"/>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岁月如风</dc:creator>
  <cp:lastModifiedBy>巩雨桐</cp:lastModifiedBy>
  <cp:revision>14</cp:revision>
  <dcterms:created xsi:type="dcterms:W3CDTF">2024-05-06T08:48:00Z</dcterms:created>
  <dcterms:modified xsi:type="dcterms:W3CDTF">2025-02-24T13:43:00Z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BF8D1C7509AC4B34B3A84BAAD5FFE1FE_13</vt:lpwstr>
  </property>
</Properties>
</file>