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rPr>
        <w:t>南方医科大学中西医结合医院2025年体检系统软件维保服务项目采购</w:t>
      </w:r>
      <w:r>
        <w:rPr>
          <w:rFonts w:hint="eastAsia"/>
          <w:lang w:val="en-US" w:eastAsia="zh-CN"/>
        </w:rPr>
        <w:t>文件</w:t>
      </w:r>
    </w:p>
    <w:p>
      <w:pPr>
        <w:pStyle w:val="3"/>
        <w:numPr>
          <w:ilvl w:val="0"/>
          <w:numId w:val="1"/>
        </w:numPr>
        <w:bidi w:val="0"/>
      </w:pPr>
      <w:r>
        <w:rPr>
          <w:rFonts w:hint="eastAsia"/>
        </w:rPr>
        <w:t>项目名称</w:t>
      </w:r>
    </w:p>
    <w:p>
      <w:pPr>
        <w:spacing w:line="360" w:lineRule="auto"/>
        <w:rPr>
          <w:rFonts w:hint="eastAsia"/>
        </w:rPr>
      </w:pPr>
      <w:r>
        <w:rPr>
          <w:rFonts w:hint="eastAsia"/>
        </w:rPr>
        <w:t>南方医科大学中西医结合医院2025年体检系统软件维保服务项目</w:t>
      </w:r>
    </w:p>
    <w:p>
      <w:pPr>
        <w:spacing w:line="360" w:lineRule="auto"/>
        <w:rPr>
          <w:rFonts w:hint="default" w:eastAsiaTheme="minorEastAsia"/>
          <w:lang w:val="en-US" w:eastAsia="zh-CN"/>
        </w:rPr>
      </w:pPr>
      <w:r>
        <w:rPr>
          <w:rFonts w:hint="eastAsia"/>
          <w:lang w:val="en-US" w:eastAsia="zh-CN"/>
        </w:rPr>
        <w:t>项目编号：NFZXY-2025-00008</w:t>
      </w:r>
    </w:p>
    <w:p>
      <w:pPr>
        <w:pStyle w:val="3"/>
        <w:numPr>
          <w:ilvl w:val="0"/>
          <w:numId w:val="1"/>
        </w:numPr>
        <w:bidi w:val="0"/>
      </w:pPr>
      <w:r>
        <w:rPr>
          <w:rFonts w:hint="eastAsia"/>
        </w:rPr>
        <w:t>参选人资格</w:t>
      </w:r>
    </w:p>
    <w:p>
      <w:pPr>
        <w:spacing w:line="360" w:lineRule="auto"/>
        <w:rPr>
          <w:rFonts w:hint="eastAsia" w:ascii="Arial Unicode MS" w:hAnsi="Arial Unicode MS" w:cs="宋体"/>
          <w:szCs w:val="21"/>
        </w:rPr>
      </w:pPr>
      <w:r>
        <w:rPr>
          <w:rFonts w:hint="eastAsia" w:ascii="Arial Unicode MS" w:hAnsi="Arial Unicode MS" w:cs="宋体"/>
          <w:szCs w:val="21"/>
        </w:rPr>
        <w:t>1.供应商应具备以下规定的条件，并提供下列材料：</w:t>
      </w:r>
    </w:p>
    <w:p>
      <w:pPr>
        <w:spacing w:line="360" w:lineRule="auto"/>
        <w:rPr>
          <w:rFonts w:hint="eastAsia" w:ascii="Arial Unicode MS" w:hAnsi="Arial Unicode MS" w:cs="宋体"/>
          <w:szCs w:val="21"/>
        </w:rPr>
      </w:pPr>
      <w:r>
        <w:rPr>
          <w:rFonts w:hint="eastAsia" w:ascii="Arial Unicode MS" w:hAnsi="Arial Unicode MS" w:cs="宋体"/>
          <w:szCs w:val="21"/>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spacing w:line="360" w:lineRule="auto"/>
        <w:rPr>
          <w:rFonts w:hint="eastAsia" w:ascii="Arial Unicode MS" w:hAnsi="Arial Unicode MS" w:cs="宋体"/>
          <w:szCs w:val="21"/>
        </w:rPr>
      </w:pPr>
      <w:r>
        <w:rPr>
          <w:rFonts w:hint="eastAsia" w:ascii="Arial Unicode MS" w:hAnsi="Arial Unicode MS" w:cs="宋体"/>
          <w:szCs w:val="21"/>
        </w:rPr>
        <w:t>（2）具有良好的商业信誉和健全的财务会计制度：提供202</w:t>
      </w:r>
      <w:r>
        <w:rPr>
          <w:rFonts w:hint="eastAsia" w:ascii="Arial Unicode MS" w:hAnsi="Arial Unicode MS" w:cs="宋体"/>
          <w:szCs w:val="21"/>
          <w:lang w:val="en-US" w:eastAsia="zh-CN"/>
        </w:rPr>
        <w:t>3</w:t>
      </w:r>
      <w:r>
        <w:rPr>
          <w:rFonts w:hint="eastAsia" w:ascii="Arial Unicode MS" w:hAnsi="Arial Unicode MS" w:cs="宋体"/>
          <w:szCs w:val="21"/>
        </w:rPr>
        <w:t>或者202</w:t>
      </w:r>
      <w:r>
        <w:rPr>
          <w:rFonts w:hint="eastAsia" w:ascii="Arial Unicode MS" w:hAnsi="Arial Unicode MS" w:cs="宋体"/>
          <w:szCs w:val="21"/>
          <w:lang w:val="en-US" w:eastAsia="zh-CN"/>
        </w:rPr>
        <w:t>4</w:t>
      </w:r>
      <w:r>
        <w:rPr>
          <w:rFonts w:hint="eastAsia" w:ascii="Arial Unicode MS" w:hAnsi="Arial Unicode MS" w:cs="宋体"/>
          <w:szCs w:val="21"/>
        </w:rPr>
        <w:t>年度财务状况报告或基本开户行（或基本存款账户行）出具的资信证明，或最近一期财务报表（适用在上一年度或本财务年度成立的法人或其他组织），或提供《供应商资格声明函》。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（4）具有履行合同所必须的设备和专业技术能力：按响应文件格式填报设备及专业技术能力情况或提供《供应商资格声明函》。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rPr>
          <w:rFonts w:hint="eastAsia" w:ascii="Arial Unicode MS" w:hAnsi="Arial Unicode MS" w:cs="宋体"/>
          <w:szCs w:val="21"/>
        </w:rPr>
      </w:pPr>
      <w:r>
        <w:rPr>
          <w:rFonts w:hint="eastAsia" w:ascii="Arial Unicode MS" w:hAnsi="Arial Unicode MS" w:cs="宋体"/>
          <w:szCs w:val="21"/>
        </w:rPr>
        <w:t>3.供应商必须符合法律、行政法规规定的其他条件：</w:t>
      </w:r>
    </w:p>
    <w:p>
      <w:pPr>
        <w:spacing w:line="360" w:lineRule="auto"/>
        <w:rPr>
          <w:rFonts w:hint="eastAsia" w:ascii="Arial Unicode MS" w:hAnsi="Arial Unicode MS" w:cs="宋体"/>
          <w:szCs w:val="21"/>
        </w:rPr>
      </w:pPr>
      <w:r>
        <w:rPr>
          <w:rFonts w:hint="eastAsia" w:ascii="Arial Unicode MS" w:hAnsi="Arial Unicode MS" w:cs="宋体"/>
          <w:szCs w:val="21"/>
        </w:rPr>
        <w:t>（1）单位负责人为同一人或者存在直接控股、管理关系的不同供应商，不得同时参加本采购项目（采购包）响应。提供《供应商资格声明函》。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（2）为本项目提供整体设计、规范编制或者项目管理、监理、检测等服务的供应商，不得再参与本项目（采购包）响应。提供《供应商资格声明函》。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（3）供应商已按</w:t>
      </w:r>
      <w:r>
        <w:rPr>
          <w:rFonts w:hint="eastAsia" w:ascii="Arial Unicode MS" w:hAnsi="Arial Unicode MS" w:cs="宋体"/>
          <w:szCs w:val="21"/>
          <w:lang w:val="en-US" w:eastAsia="zh-CN"/>
        </w:rPr>
        <w:t>采购</w:t>
      </w:r>
      <w:r>
        <w:rPr>
          <w:rFonts w:hint="eastAsia" w:ascii="Arial Unicode MS" w:hAnsi="Arial Unicode MS" w:cs="宋体"/>
          <w:szCs w:val="21"/>
        </w:rPr>
        <w:t>公告</w:t>
      </w:r>
      <w:r>
        <w:rPr>
          <w:rFonts w:hint="eastAsia" w:ascii="Arial Unicode MS" w:hAnsi="Arial Unicode MS" w:cs="宋体"/>
          <w:szCs w:val="21"/>
          <w:lang w:val="en-US" w:eastAsia="zh-CN"/>
        </w:rPr>
        <w:t>的</w:t>
      </w:r>
      <w:r>
        <w:rPr>
          <w:rFonts w:hint="eastAsia" w:ascii="Arial Unicode MS" w:hAnsi="Arial Unicode MS" w:cs="宋体"/>
          <w:szCs w:val="21"/>
        </w:rPr>
        <w:t>规定获取了</w:t>
      </w:r>
      <w:r>
        <w:rPr>
          <w:rFonts w:hint="eastAsia" w:ascii="Arial Unicode MS" w:hAnsi="Arial Unicode MS" w:cs="宋体"/>
          <w:szCs w:val="21"/>
          <w:lang w:val="en-US" w:eastAsia="zh-CN"/>
        </w:rPr>
        <w:t>采购</w:t>
      </w:r>
      <w:r>
        <w:rPr>
          <w:rFonts w:hint="eastAsia" w:ascii="Arial Unicode MS" w:hAnsi="Arial Unicode MS" w:cs="宋体"/>
          <w:szCs w:val="21"/>
        </w:rPr>
        <w:t>文件。</w:t>
      </w:r>
    </w:p>
    <w:p>
      <w:pPr>
        <w:spacing w:line="360" w:lineRule="auto"/>
        <w:rPr>
          <w:rFonts w:hint="default" w:ascii="Arial Unicode MS" w:hAnsi="Arial Unicode MS" w:cs="宋体" w:eastAsiaTheme="minorEastAsia"/>
          <w:szCs w:val="21"/>
          <w:lang w:val="en-US" w:eastAsia="zh-CN"/>
        </w:rPr>
      </w:pPr>
      <w:r>
        <w:rPr>
          <w:rFonts w:hint="eastAsia" w:ascii="Arial Unicode MS" w:hAnsi="Arial Unicode MS" w:cs="宋体"/>
          <w:szCs w:val="21"/>
        </w:rPr>
        <w:t>（4）本项目不接受联合体响应。</w:t>
      </w:r>
    </w:p>
    <w:p>
      <w:pPr>
        <w:pStyle w:val="3"/>
        <w:numPr>
          <w:ilvl w:val="0"/>
          <w:numId w:val="1"/>
        </w:numPr>
        <w:bidi w:val="0"/>
      </w:pPr>
      <w:r>
        <w:rPr>
          <w:rFonts w:hint="eastAsia"/>
        </w:rPr>
        <w:t>项目需求</w:t>
      </w:r>
    </w:p>
    <w:p>
      <w:pPr>
        <w:spacing w:line="360" w:lineRule="auto"/>
        <w:rPr>
          <w:rFonts w:hint="eastAsia"/>
          <w:b/>
          <w:bCs/>
        </w:rPr>
      </w:pPr>
      <w:r>
        <w:rPr>
          <w:rFonts w:hint="eastAsia"/>
          <w:b/>
          <w:bCs/>
          <w:lang w:eastAsia="zh-CN"/>
        </w:rPr>
        <w:t>（</w:t>
      </w:r>
      <w:r>
        <w:rPr>
          <w:rFonts w:hint="eastAsia"/>
          <w:b/>
          <w:bCs/>
          <w:lang w:val="en-US" w:eastAsia="zh-CN"/>
        </w:rPr>
        <w:t>一）</w:t>
      </w:r>
      <w:r>
        <w:rPr>
          <w:rFonts w:hint="eastAsia"/>
          <w:b/>
          <w:bCs/>
        </w:rPr>
        <w:t>项目内容：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eastAsia"/>
                <w:sz w:val="24"/>
                <w:vertAlign w:val="baseline"/>
              </w:rPr>
            </w:pPr>
            <w:r>
              <w:rPr>
                <w:rFonts w:hint="eastAsia" w:ascii="Arial Unicode MS" w:hAnsi="Arial Unicode MS" w:cs="宋体"/>
                <w:sz w:val="24"/>
                <w:szCs w:val="24"/>
              </w:rPr>
              <w:t>采购标的</w:t>
            </w:r>
          </w:p>
        </w:tc>
        <w:tc>
          <w:tcPr>
            <w:tcW w:w="4261" w:type="dxa"/>
          </w:tcPr>
          <w:p>
            <w:pPr>
              <w:spacing w:line="360" w:lineRule="auto"/>
              <w:jc w:val="center"/>
              <w:rPr>
                <w:rFonts w:hint="default" w:eastAsiaTheme="minorEastAsia"/>
                <w:sz w:val="24"/>
                <w:vertAlign w:val="baseline"/>
                <w:lang w:val="en-US" w:eastAsia="zh-CN"/>
              </w:rPr>
            </w:pPr>
            <w:r>
              <w:rPr>
                <w:rFonts w:hint="eastAsia"/>
                <w:sz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default"/>
                <w:sz w:val="24"/>
                <w:vertAlign w:val="baseline"/>
                <w:lang w:val="en-US"/>
              </w:rPr>
            </w:pPr>
            <w:r>
              <w:rPr>
                <w:rFonts w:hint="eastAsia"/>
                <w:sz w:val="24"/>
                <w:szCs w:val="24"/>
                <w:lang w:val="en-US" w:eastAsia="zh-CN"/>
              </w:rPr>
              <w:t>体检系统软件维保服务</w:t>
            </w:r>
          </w:p>
        </w:tc>
        <w:tc>
          <w:tcPr>
            <w:tcW w:w="4261" w:type="dxa"/>
          </w:tcPr>
          <w:p>
            <w:pPr>
              <w:spacing w:line="360" w:lineRule="auto"/>
              <w:jc w:val="center"/>
              <w:rPr>
                <w:rFonts w:hint="eastAsia"/>
                <w:sz w:val="24"/>
                <w:vertAlign w:val="baseline"/>
              </w:rPr>
            </w:pPr>
            <w:r>
              <w:rPr>
                <w:rFonts w:hint="eastAsia" w:ascii="Arial Unicode MS" w:hAnsi="Arial Unicode MS" w:cs="宋体"/>
                <w:sz w:val="24"/>
                <w:szCs w:val="24"/>
                <w:lang w:val="en-US" w:eastAsia="zh-CN"/>
              </w:rPr>
              <w:t>37900</w:t>
            </w:r>
          </w:p>
        </w:tc>
      </w:tr>
    </w:tbl>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最高限价：人民币</w:t>
      </w:r>
      <w:r>
        <w:rPr>
          <w:rFonts w:hint="eastAsia" w:ascii="宋体"/>
          <w:color w:val="000000"/>
          <w:szCs w:val="21"/>
          <w:lang w:val="en-US" w:eastAsia="zh-CN"/>
        </w:rPr>
        <w:t>37900元</w:t>
      </w:r>
      <w:r>
        <w:rPr>
          <w:rFonts w:hint="eastAsia" w:ascii="宋体"/>
          <w:color w:val="000000"/>
          <w:szCs w:val="21"/>
        </w:rPr>
        <w:t>。</w:t>
      </w:r>
    </w:p>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响应人必须对本项目全部采购内容进行响应，如有缺漏，将导致响应无效。如响应报价超出最高限价，将导致响应无效。</w:t>
      </w:r>
    </w:p>
    <w:p>
      <w:pPr>
        <w:spacing w:line="360" w:lineRule="auto"/>
        <w:ind w:firstLine="420" w:firstLineChars="0"/>
        <w:rPr>
          <w:rFonts w:hint="eastAsia"/>
          <w:b/>
          <w:bCs/>
        </w:rPr>
      </w:pPr>
      <w:r>
        <w:rPr>
          <w:rFonts w:hint="eastAsia"/>
          <w:b/>
          <w:bCs/>
        </w:rPr>
        <w:t>成交商确定方式：确定满足采购人需求且报价最低的供应商为成交供应商。</w:t>
      </w:r>
    </w:p>
    <w:p>
      <w:pPr>
        <w:widowControl w:val="0"/>
        <w:spacing w:line="360" w:lineRule="auto"/>
        <w:rPr>
          <w:rFonts w:hint="eastAsia" w:ascii="宋体"/>
          <w:b/>
          <w:bCs/>
          <w:color w:val="000000"/>
          <w:szCs w:val="21"/>
        </w:rPr>
      </w:pPr>
      <w:r>
        <w:rPr>
          <w:rFonts w:hint="eastAsia" w:ascii="宋体"/>
          <w:b/>
          <w:bCs/>
          <w:color w:val="000000"/>
          <w:szCs w:val="21"/>
          <w:lang w:eastAsia="zh-CN"/>
        </w:rPr>
        <w:t>（</w:t>
      </w:r>
      <w:r>
        <w:rPr>
          <w:rFonts w:hint="eastAsia" w:ascii="宋体"/>
          <w:b/>
          <w:bCs/>
          <w:color w:val="000000"/>
          <w:szCs w:val="21"/>
          <w:lang w:val="en-US" w:eastAsia="zh-CN"/>
        </w:rPr>
        <w:t>二）</w:t>
      </w:r>
      <w:r>
        <w:rPr>
          <w:rFonts w:hint="eastAsia" w:ascii="宋体"/>
          <w:b/>
          <w:bCs/>
          <w:color w:val="000000"/>
          <w:szCs w:val="21"/>
        </w:rPr>
        <w:t>技术要求：</w:t>
      </w:r>
    </w:p>
    <w:tbl>
      <w:tblPr>
        <w:tblStyle w:val="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jc w:val="center"/>
              <w:rPr>
                <w:rFonts w:hint="eastAsia" w:ascii="宋体"/>
                <w:color w:val="000000"/>
                <w:szCs w:val="21"/>
              </w:rPr>
            </w:pPr>
            <w:r>
              <w:rPr>
                <w:rFonts w:hint="eastAsia" w:ascii="宋体"/>
                <w:color w:val="000000"/>
                <w:szCs w:val="21"/>
              </w:rPr>
              <w:t>模块</w:t>
            </w:r>
          </w:p>
        </w:tc>
        <w:tc>
          <w:tcPr>
            <w:tcW w:w="8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功能描述</w:t>
            </w:r>
          </w:p>
        </w:tc>
      </w:tr>
      <w:tr>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r>
      <w:tr>
        <w:tblPrEx>
          <w:tblCellMar>
            <w:top w:w="0" w:type="dxa"/>
            <w:left w:w="108" w:type="dxa"/>
            <w:bottom w:w="0" w:type="dxa"/>
            <w:right w:w="108" w:type="dxa"/>
          </w:tblCellMar>
        </w:tblPrEx>
        <w:trPr>
          <w:trHeight w:val="795" w:hRule="atLeast"/>
        </w:trPr>
        <w:tc>
          <w:tcPr>
            <w:tcW w:w="1080" w:type="dxa"/>
            <w:vMerge w:val="restart"/>
            <w:tcBorders>
              <w:top w:val="nil"/>
              <w:left w:val="single" w:color="auto" w:sz="4" w:space="0"/>
              <w:right w:val="single" w:color="auto" w:sz="4" w:space="0"/>
            </w:tcBorders>
            <w:shd w:val="clear" w:color="auto" w:fill="auto"/>
            <w:vAlign w:val="center"/>
          </w:tcPr>
          <w:p>
            <w:pPr>
              <w:widowControl w:val="0"/>
              <w:spacing w:line="360" w:lineRule="auto"/>
              <w:rPr>
                <w:rFonts w:hint="eastAsia" w:ascii="宋体"/>
                <w:color w:val="000000"/>
                <w:szCs w:val="21"/>
              </w:rPr>
            </w:pPr>
            <w:r>
              <w:rPr>
                <w:rFonts w:hint="eastAsia" w:ascii="宋体"/>
                <w:color w:val="000000"/>
                <w:szCs w:val="21"/>
              </w:rPr>
              <w:t>体检系统</w:t>
            </w: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体检预约模块</w:t>
            </w:r>
          </w:p>
        </w:tc>
      </w:tr>
      <w:tr>
        <w:tblPrEx>
          <w:tblCellMar>
            <w:top w:w="0" w:type="dxa"/>
            <w:left w:w="108" w:type="dxa"/>
            <w:bottom w:w="0" w:type="dxa"/>
            <w:right w:w="108" w:type="dxa"/>
          </w:tblCellMar>
        </w:tblPrEx>
        <w:trPr>
          <w:trHeight w:val="54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体检登记模块</w:t>
            </w:r>
          </w:p>
        </w:tc>
      </w:tr>
      <w:tr>
        <w:tblPrEx>
          <w:tblCellMar>
            <w:top w:w="0" w:type="dxa"/>
            <w:left w:w="108" w:type="dxa"/>
            <w:bottom w:w="0" w:type="dxa"/>
            <w:right w:w="108" w:type="dxa"/>
          </w:tblCellMar>
        </w:tblPrEx>
        <w:trPr>
          <w:trHeight w:val="42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自动批量登记</w:t>
            </w:r>
          </w:p>
        </w:tc>
      </w:tr>
      <w:tr>
        <w:tblPrEx>
          <w:tblCellMar>
            <w:top w:w="0" w:type="dxa"/>
            <w:left w:w="108" w:type="dxa"/>
            <w:bottom w:w="0" w:type="dxa"/>
            <w:right w:w="108" w:type="dxa"/>
          </w:tblCellMar>
        </w:tblPrEx>
        <w:trPr>
          <w:trHeight w:val="345"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单位分组</w:t>
            </w:r>
          </w:p>
        </w:tc>
      </w:tr>
      <w:tr>
        <w:tblPrEx>
          <w:tblCellMar>
            <w:top w:w="0" w:type="dxa"/>
            <w:left w:w="108" w:type="dxa"/>
            <w:bottom w:w="0" w:type="dxa"/>
            <w:right w:w="108" w:type="dxa"/>
          </w:tblCellMar>
        </w:tblPrEx>
        <w:trPr>
          <w:trHeight w:val="375"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综合管理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体检标本管理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验血拍照</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结果录入</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报告打印</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主检审核</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数据查询</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体检报表</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数据维护</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样本管理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自动防止漏检、设置拒检</w:t>
            </w:r>
          </w:p>
        </w:tc>
      </w:tr>
      <w:tr>
        <w:tblPrEx>
          <w:tblCellMar>
            <w:top w:w="0" w:type="dxa"/>
            <w:left w:w="108" w:type="dxa"/>
            <w:bottom w:w="0" w:type="dxa"/>
            <w:right w:w="108" w:type="dxa"/>
          </w:tblCellMar>
        </w:tblPrEx>
        <w:trPr>
          <w:trHeight w:val="55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总检医生诊台</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丰富的报表查询统计</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短信应用</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网站查询体检报告</w:t>
            </w:r>
          </w:p>
        </w:tc>
      </w:tr>
      <w:tr>
        <w:tblPrEx>
          <w:tblCellMar>
            <w:top w:w="0" w:type="dxa"/>
            <w:left w:w="108" w:type="dxa"/>
            <w:bottom w:w="0" w:type="dxa"/>
            <w:right w:w="108" w:type="dxa"/>
          </w:tblCellMar>
        </w:tblPrEx>
        <w:trPr>
          <w:trHeight w:val="450" w:hRule="atLeast"/>
        </w:trPr>
        <w:tc>
          <w:tcPr>
            <w:tcW w:w="1080" w:type="dxa"/>
            <w:vMerge w:val="continue"/>
            <w:tcBorders>
              <w:left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提供标准第三方数据接口</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体检报告批量打印功能</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报表功能</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财务对接</w:t>
            </w:r>
          </w:p>
        </w:tc>
      </w:tr>
      <w:tr>
        <w:tblPrEx>
          <w:tblCellMar>
            <w:top w:w="0" w:type="dxa"/>
            <w:left w:w="108" w:type="dxa"/>
            <w:bottom w:w="0" w:type="dxa"/>
            <w:right w:w="108" w:type="dxa"/>
          </w:tblCellMar>
        </w:tblPrEx>
        <w:trPr>
          <w:trHeight w:val="436"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外出体检</w:t>
            </w:r>
          </w:p>
        </w:tc>
      </w:tr>
      <w:tr>
        <w:tblPrEx>
          <w:tblCellMar>
            <w:top w:w="0" w:type="dxa"/>
            <w:left w:w="108" w:type="dxa"/>
            <w:bottom w:w="0" w:type="dxa"/>
            <w:right w:w="108" w:type="dxa"/>
          </w:tblCellMar>
        </w:tblPrEx>
        <w:trPr>
          <w:trHeight w:val="675" w:hRule="atLeast"/>
        </w:trPr>
        <w:tc>
          <w:tcPr>
            <w:tcW w:w="1080" w:type="dxa"/>
            <w:vMerge w:val="continue"/>
            <w:tcBorders>
              <w:left w:val="single" w:color="auto"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排检管理（B超叫号）</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bottom w:val="single" w:color="000000" w:sz="4" w:space="0"/>
              <w:right w:val="single" w:color="auto" w:sz="4" w:space="0"/>
            </w:tcBorders>
            <w:vAlign w:val="center"/>
          </w:tcPr>
          <w:p>
            <w:pPr>
              <w:widowControl w:val="0"/>
              <w:spacing w:line="360" w:lineRule="auto"/>
              <w:ind w:left="13" w:leftChars="6" w:firstLine="405" w:firstLineChars="193"/>
              <w:rPr>
                <w:rFonts w:hint="eastAsia" w:ascii="宋体"/>
                <w:color w:val="000000"/>
                <w:szCs w:val="21"/>
              </w:rPr>
            </w:pPr>
          </w:p>
        </w:tc>
        <w:tc>
          <w:tcPr>
            <w:tcW w:w="8667" w:type="dxa"/>
            <w:tcBorders>
              <w:top w:val="nil"/>
              <w:left w:val="nil"/>
              <w:bottom w:val="single" w:color="auto" w:sz="4" w:space="0"/>
              <w:right w:val="single" w:color="auto" w:sz="4" w:space="0"/>
            </w:tcBorders>
            <w:shd w:val="clear" w:color="auto" w:fill="auto"/>
            <w:vAlign w:val="center"/>
          </w:tcPr>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微信公众号</w:t>
            </w:r>
          </w:p>
        </w:tc>
      </w:tr>
    </w:tbl>
    <w:p>
      <w:pPr>
        <w:widowControl w:val="0"/>
        <w:spacing w:line="360" w:lineRule="auto"/>
        <w:ind w:firstLine="420" w:firstLineChars="0"/>
        <w:rPr>
          <w:rFonts w:hint="eastAsia" w:ascii="宋体"/>
          <w:b/>
          <w:bCs/>
          <w:color w:val="000000"/>
          <w:szCs w:val="21"/>
        </w:rPr>
      </w:pPr>
      <w:r>
        <w:rPr>
          <w:rFonts w:hint="eastAsia" w:ascii="宋体"/>
          <w:b/>
          <w:bCs/>
          <w:color w:val="000000"/>
          <w:szCs w:val="21"/>
        </w:rPr>
        <w:t>对上述院方系统，乙方为甲方提供以下服务内容：</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1、远程电话和网络支持：电话7×24小时远程支持及远程网络维护服务。</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2、故障维护：指配合甲方解决系统运行过程中由于系统软件造成的故障，并在完成故障处理后出具产品维护报告，包含问题的原因、解决办法以及建议。</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3、软件正确性维护：指软件运行过程中新发现的软件错误，乙方负责维护及时改进并且通知甲方，并且提供软件维护说明。</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4、用户培训：负责系统的培训与指导：</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lang w:val="en-US" w:eastAsia="zh-CN"/>
        </w:rPr>
        <w:t>1）</w:t>
      </w:r>
      <w:r>
        <w:rPr>
          <w:rFonts w:hint="eastAsia" w:ascii="宋体"/>
          <w:color w:val="000000"/>
          <w:szCs w:val="21"/>
        </w:rPr>
        <w:t>软件更改后造成软件操作变化的使用培训，培训对象为信息科工程师，并提供新功能使用说明。</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lang w:val="en-US" w:eastAsia="zh-CN"/>
        </w:rPr>
        <w:t>2）</w:t>
      </w:r>
      <w:r>
        <w:rPr>
          <w:rFonts w:hint="eastAsia" w:ascii="宋体"/>
          <w:color w:val="000000"/>
          <w:szCs w:val="21"/>
        </w:rPr>
        <w:t>乙方提供两次的业务使用培训，由甲方组织相关使用软件的人员（包括医生、护士等）进行集中培训。</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5、定期巡检：乙方每季度一次的定期现场巡检，对用户应用软件的软硬件环境进行检查；及时发现系统隐患保障系统稳定运行，并出具系统巡检报告，该报告内容包含巡检结果以及巡检建议。但该检查必须经过甲方的许可。</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6、需求的更新：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7、系统建设咨询：指系统在运行过程中，乙方将不定期地向甲方提供医院信息化建设的咨询服务。</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8、回应承诺：</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rPr>
        <w:t>1）在维护期内，如软件系统故障，乙方需在接到通知后30分钟予以响应，共同协商解决方案。</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rPr>
        <w:t>2）若需要工程师前往现场，除约定到达时间外，一般要求在2小时到达甲方指定现场。</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rPr>
        <w:t>3）工程师在到达现场后，经现场调查后，除约定时间外，一般要求6小时内排除故障。</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eastAsia="zh-CN"/>
        </w:rPr>
        <w:t>（</w:t>
      </w:r>
      <w:r>
        <w:rPr>
          <w:rFonts w:hint="eastAsia" w:ascii="宋体"/>
          <w:color w:val="000000"/>
          <w:szCs w:val="21"/>
        </w:rPr>
        <w:t>4）如因软件需求修改要求工程师现场维护的，乙方将在24小时内予以回应，给出具体解决方案和时间表，并经甲方批准后，遵照方案和时间表严格执行。</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9、每年一次定制开发：根据甲方需求，做软件功能的定制开发，如系统对接、改造等。</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10、免费升级到新版本和功能： 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11、新增功能及需求</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rPr>
        <w:t>对因业务或流程改造而提出的新功能需求，在现有软件基础上进行的定制性修改；标准接口之外的接口开发。简单定制性开发定义为一个合同年内工作量（包括开发和现场工程）小于10人/天的功能新增及修改；对于定制性开发工作量大于10人/天的，根据工作量进行报价。对工作量的估算由甲乙双方共同商议确定。</w:t>
      </w:r>
    </w:p>
    <w:p>
      <w:pPr>
        <w:widowControl w:val="0"/>
        <w:spacing w:line="360" w:lineRule="auto"/>
        <w:rPr>
          <w:rFonts w:hint="eastAsia" w:ascii="宋体"/>
          <w:color w:val="000000"/>
          <w:szCs w:val="21"/>
        </w:rPr>
      </w:pPr>
      <w:r>
        <w:rPr>
          <w:rFonts w:hint="eastAsia" w:ascii="宋体"/>
          <w:color w:val="000000"/>
          <w:szCs w:val="21"/>
          <w:lang w:val="en-US" w:eastAsia="zh-CN"/>
        </w:rPr>
        <w:t>（三）</w:t>
      </w:r>
      <w:r>
        <w:rPr>
          <w:rFonts w:hint="eastAsia" w:ascii="宋体"/>
          <w:color w:val="000000"/>
          <w:szCs w:val="21"/>
        </w:rPr>
        <w:t>商务要求：</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eastAsiaTheme="minorEastAsia"/>
          <w:color w:val="000000"/>
          <w:szCs w:val="21"/>
          <w:lang w:eastAsia="zh-CN"/>
        </w:rPr>
      </w:pPr>
      <w:r>
        <w:rPr>
          <w:rFonts w:hint="eastAsia" w:ascii="宋体"/>
          <w:color w:val="000000"/>
          <w:szCs w:val="21"/>
          <w:lang w:val="en-US" w:eastAsia="zh-CN"/>
        </w:rPr>
        <w:t>1、服务时间</w:t>
      </w:r>
      <w:r>
        <w:rPr>
          <w:rFonts w:hint="eastAsia" w:ascii="宋体"/>
          <w:color w:val="000000"/>
          <w:szCs w:val="21"/>
        </w:rPr>
        <w:t>：</w:t>
      </w:r>
      <w:r>
        <w:rPr>
          <w:rFonts w:hint="eastAsia" w:ascii="宋体"/>
          <w:color w:val="000000"/>
          <w:szCs w:val="21"/>
          <w:lang w:val="en-US" w:eastAsia="zh-CN"/>
        </w:rPr>
        <w:t>自</w:t>
      </w:r>
      <w:r>
        <w:rPr>
          <w:rFonts w:hint="eastAsia" w:ascii="宋体"/>
          <w:color w:val="000000"/>
          <w:szCs w:val="21"/>
        </w:rPr>
        <w:t>合同签署日起一年</w:t>
      </w:r>
      <w:r>
        <w:rPr>
          <w:rFonts w:hint="eastAsia" w:asci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val="en-US" w:eastAsia="zh-CN"/>
        </w:rPr>
        <w:t>2、服务模式</w:t>
      </w:r>
      <w:r>
        <w:rPr>
          <w:rFonts w:hint="eastAsia" w:ascii="宋体"/>
          <w:color w:val="000000"/>
          <w:szCs w:val="21"/>
        </w:rPr>
        <w:t>：远程协助，1个季度一次现场巡检，碰到棘手问题乙方需按甲方要求至医院现场处理问题</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rPr>
      </w:pPr>
      <w:r>
        <w:rPr>
          <w:rFonts w:hint="eastAsia" w:ascii="宋体"/>
          <w:color w:val="000000"/>
          <w:szCs w:val="21"/>
          <w:lang w:val="en-US" w:eastAsia="zh-CN"/>
        </w:rPr>
        <w:t>3、</w:t>
      </w:r>
      <w:r>
        <w:rPr>
          <w:rFonts w:hint="eastAsia" w:ascii="宋体"/>
          <w:color w:val="000000"/>
          <w:szCs w:val="21"/>
        </w:rPr>
        <w:t>支付方式：签订合同后乙方开具合同总价的50%发票，甲方收到乙方发票后30个工作日内完成支付。服务年期满并且验收合格后，乙方开具合同总价的50%发票，甲方收到乙方发票后30个工作日内完成支付。</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eastAsia" w:ascii="宋体"/>
          <w:color w:val="000000"/>
          <w:szCs w:val="21"/>
          <w:lang w:val="en-US" w:eastAsia="zh-CN"/>
        </w:rPr>
      </w:pPr>
      <w:r>
        <w:rPr>
          <w:rFonts w:hint="eastAsia" w:ascii="宋体"/>
          <w:color w:val="000000"/>
          <w:szCs w:val="21"/>
          <w:lang w:val="en-US" w:eastAsia="zh-CN"/>
        </w:rPr>
        <w:t>4、售后服务：</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default" w:ascii="宋体"/>
          <w:color w:val="000000"/>
          <w:szCs w:val="21"/>
          <w:lang w:val="en-US" w:eastAsia="zh-CN"/>
        </w:rPr>
      </w:pPr>
      <w:r>
        <w:rPr>
          <w:rFonts w:hint="default" w:ascii="宋体"/>
          <w:color w:val="000000"/>
          <w:szCs w:val="21"/>
          <w:lang w:val="en-US" w:eastAsia="zh-CN"/>
        </w:rPr>
        <w:t>负责系统的培训与指导：</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default" w:ascii="宋体"/>
          <w:color w:val="000000"/>
          <w:szCs w:val="21"/>
          <w:lang w:val="en-US" w:eastAsia="zh-CN"/>
        </w:rPr>
      </w:pPr>
      <w:r>
        <w:rPr>
          <w:rFonts w:hint="default" w:ascii="宋体"/>
          <w:color w:val="000000"/>
          <w:szCs w:val="21"/>
          <w:lang w:val="en-US" w:eastAsia="zh-CN"/>
        </w:rPr>
        <w:t>（1）软件更改后造成软件操作变化的使用培训，培训对象为信息科工程师，并提供新功能使用说明。</w:t>
      </w:r>
    </w:p>
    <w:p>
      <w:pPr>
        <w:keepNext w:val="0"/>
        <w:keepLines w:val="0"/>
        <w:pageBreakBefore w:val="0"/>
        <w:widowControl w:val="0"/>
        <w:kinsoku/>
        <w:wordWrap/>
        <w:overflowPunct/>
        <w:topLinePunct w:val="0"/>
        <w:autoSpaceDE/>
        <w:autoSpaceDN/>
        <w:bidi w:val="0"/>
        <w:adjustRightInd/>
        <w:snapToGrid/>
        <w:spacing w:line="360" w:lineRule="auto"/>
        <w:ind w:left="13" w:leftChars="6" w:firstLine="0" w:firstLineChars="0"/>
        <w:textAlignment w:val="auto"/>
        <w:rPr>
          <w:rFonts w:hint="default" w:ascii="宋体"/>
          <w:color w:val="000000"/>
          <w:szCs w:val="21"/>
          <w:lang w:val="en-US" w:eastAsia="zh-CN"/>
        </w:rPr>
      </w:pPr>
      <w:r>
        <w:rPr>
          <w:rFonts w:hint="default" w:ascii="宋体"/>
          <w:color w:val="000000"/>
          <w:szCs w:val="21"/>
          <w:lang w:val="en-US" w:eastAsia="zh-CN"/>
        </w:rPr>
        <w:t>（2）乙方提供两次的业务使用培训，由甲方组织相关使用软件的人员（包括医生、护士等）进行集中培训。</w:t>
      </w:r>
    </w:p>
    <w:p>
      <w:pPr>
        <w:spacing w:line="360" w:lineRule="auto"/>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p>
    <w:p>
      <w:pPr>
        <w:pStyle w:val="3"/>
        <w:bidi w:val="0"/>
        <w:rPr>
          <w:rFonts w:hint="eastAsia"/>
          <w:lang w:val="en-US" w:eastAsia="zh-CN"/>
        </w:rPr>
      </w:pPr>
      <w:r>
        <w:rPr>
          <w:rFonts w:hint="eastAsia"/>
          <w:lang w:val="en-US" w:eastAsia="zh-CN"/>
        </w:rPr>
        <w:t>四、合同模板（参考模板，最终合同以院方与成交商协商确定）</w:t>
      </w:r>
    </w:p>
    <w:p>
      <w:pPr>
        <w:spacing w:line="360" w:lineRule="auto"/>
        <w:jc w:val="center"/>
        <w:rPr>
          <w:b/>
          <w:sz w:val="44"/>
          <w:szCs w:val="44"/>
          <w:u w:val="single"/>
        </w:rPr>
      </w:pPr>
      <w:r>
        <w:rPr>
          <w:rFonts w:hint="eastAsia"/>
          <w:b/>
          <w:sz w:val="44"/>
          <w:szCs w:val="44"/>
        </w:rPr>
        <w:t>南方医科大学中西医结合医院</w:t>
      </w:r>
      <w:r>
        <w:rPr>
          <w:b/>
          <w:sz w:val="44"/>
          <w:szCs w:val="44"/>
          <w:u w:val="single"/>
        </w:rPr>
        <w:t xml:space="preserve">   </w:t>
      </w:r>
      <w:r>
        <w:rPr>
          <w:rFonts w:hint="eastAsia"/>
          <w:b/>
          <w:color w:val="C00000"/>
          <w:sz w:val="44"/>
          <w:szCs w:val="44"/>
          <w:u w:val="single"/>
        </w:rPr>
        <w:t>体检系统软件</w:t>
      </w:r>
      <w:r>
        <w:rPr>
          <w:b/>
          <w:sz w:val="44"/>
          <w:szCs w:val="44"/>
          <w:u w:val="single"/>
        </w:rPr>
        <w:t xml:space="preserve">  </w:t>
      </w:r>
    </w:p>
    <w:p>
      <w:pPr>
        <w:spacing w:line="360" w:lineRule="auto"/>
        <w:jc w:val="center"/>
        <w:rPr>
          <w:b/>
          <w:sz w:val="44"/>
          <w:szCs w:val="44"/>
        </w:rPr>
      </w:pPr>
      <w:r>
        <w:rPr>
          <w:rFonts w:hint="eastAsia"/>
          <w:b/>
          <w:sz w:val="44"/>
          <w:szCs w:val="44"/>
        </w:rPr>
        <w:t>维护合同</w:t>
      </w:r>
    </w:p>
    <w:p>
      <w:pPr>
        <w:spacing w:line="360" w:lineRule="auto"/>
        <w:jc w:val="center"/>
        <w:rPr>
          <w:b/>
          <w:sz w:val="36"/>
          <w:szCs w:val="36"/>
        </w:rPr>
      </w:pPr>
    </w:p>
    <w:p>
      <w:pPr>
        <w:pStyle w:val="6"/>
        <w:snapToGrid w:val="0"/>
        <w:spacing w:line="312" w:lineRule="auto"/>
        <w:rPr>
          <w:b/>
          <w:sz w:val="24"/>
          <w:szCs w:val="24"/>
        </w:rPr>
      </w:pPr>
    </w:p>
    <w:p>
      <w:pPr>
        <w:pStyle w:val="6"/>
        <w:snapToGrid w:val="0"/>
        <w:spacing w:line="480" w:lineRule="auto"/>
        <w:ind w:firstLine="1940" w:firstLineChars="690"/>
        <w:rPr>
          <w:b/>
          <w:sz w:val="28"/>
          <w:szCs w:val="28"/>
          <w:u w:val="single"/>
        </w:rPr>
      </w:pPr>
      <w:r>
        <w:rPr>
          <w:rFonts w:hint="eastAsia"/>
          <w:b/>
          <w:sz w:val="28"/>
          <w:szCs w:val="28"/>
        </w:rPr>
        <w:t>甲方（需方）：</w:t>
      </w:r>
      <w:r>
        <w:rPr>
          <w:rFonts w:hint="eastAsia" w:hAnsi="宋体"/>
          <w:b/>
          <w:sz w:val="28"/>
          <w:szCs w:val="28"/>
          <w:u w:val="single"/>
        </w:rPr>
        <w:t xml:space="preserve">南方医科大学中西医结合医院    </w:t>
      </w:r>
    </w:p>
    <w:p>
      <w:pPr>
        <w:pStyle w:val="6"/>
        <w:snapToGrid w:val="0"/>
        <w:spacing w:line="480" w:lineRule="auto"/>
        <w:ind w:firstLine="1940" w:firstLineChars="690"/>
        <w:rPr>
          <w:b/>
          <w:sz w:val="28"/>
          <w:szCs w:val="28"/>
          <w:u w:val="single"/>
        </w:rPr>
      </w:pPr>
      <w:r>
        <w:rPr>
          <w:rFonts w:hint="eastAsia"/>
          <w:b/>
          <w:sz w:val="28"/>
          <w:szCs w:val="28"/>
        </w:rPr>
        <w:t>乙方（供方）：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pPr>
        <w:pStyle w:val="6"/>
        <w:snapToGrid w:val="0"/>
        <w:spacing w:line="480" w:lineRule="auto"/>
        <w:ind w:firstLine="1940" w:firstLineChars="690"/>
        <w:rPr>
          <w:b/>
          <w:sz w:val="28"/>
          <w:szCs w:val="28"/>
          <w:u w:val="single"/>
        </w:rPr>
      </w:pPr>
      <w:r>
        <w:rPr>
          <w:rFonts w:hint="eastAsia"/>
          <w:b/>
          <w:sz w:val="28"/>
          <w:szCs w:val="28"/>
        </w:rPr>
        <w:t>合 同 编 号：</w:t>
      </w:r>
      <w:r>
        <w:rPr>
          <w:rFonts w:hint="eastAsia"/>
          <w:b/>
          <w:sz w:val="28"/>
          <w:szCs w:val="28"/>
          <w:u w:val="single"/>
        </w:rPr>
        <w:t xml:space="preserve">     </w:t>
      </w:r>
      <w:r>
        <w:rPr>
          <w:b/>
          <w:sz w:val="28"/>
          <w:szCs w:val="28"/>
          <w:u w:val="single"/>
        </w:rPr>
        <w:t>NFZXY20180027-3</w:t>
      </w:r>
      <w:r>
        <w:rPr>
          <w:rFonts w:hint="eastAsia"/>
          <w:b/>
          <w:sz w:val="28"/>
          <w:szCs w:val="28"/>
          <w:u w:val="single"/>
        </w:rPr>
        <w:t xml:space="preserve">                         </w:t>
      </w:r>
    </w:p>
    <w:p>
      <w:pPr>
        <w:pStyle w:val="6"/>
        <w:snapToGrid w:val="0"/>
        <w:spacing w:line="480" w:lineRule="auto"/>
        <w:ind w:firstLine="1889" w:firstLineChars="784"/>
        <w:rPr>
          <w:b/>
          <w:sz w:val="24"/>
          <w:szCs w:val="24"/>
          <w:u w:val="single"/>
        </w:rPr>
      </w:pPr>
    </w:p>
    <w:tbl>
      <w:tblPr>
        <w:tblStyle w:val="9"/>
        <w:tblW w:w="0" w:type="auto"/>
        <w:tblInd w:w="93" w:type="dxa"/>
        <w:tblLayout w:type="fixed"/>
        <w:tblCellMar>
          <w:top w:w="0" w:type="dxa"/>
          <w:left w:w="108" w:type="dxa"/>
          <w:bottom w:w="0" w:type="dxa"/>
          <w:right w:w="108" w:type="dxa"/>
        </w:tblCellMar>
      </w:tblPr>
      <w:tblGrid>
        <w:gridCol w:w="4590"/>
        <w:gridCol w:w="640"/>
        <w:gridCol w:w="4590"/>
      </w:tblGrid>
      <w:tr>
        <w:tblPrEx>
          <w:tblCellMar>
            <w:top w:w="0" w:type="dxa"/>
            <w:left w:w="108" w:type="dxa"/>
            <w:bottom w:w="0" w:type="dxa"/>
            <w:right w:w="108" w:type="dxa"/>
          </w:tblCellMar>
        </w:tblPrEx>
        <w:trPr>
          <w:trHeight w:val="1125"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甲  方（盖章）：</w:t>
            </w:r>
          </w:p>
          <w:p>
            <w:pPr>
              <w:widowControl/>
              <w:jc w:val="left"/>
              <w:rPr>
                <w:rFonts w:ascii="宋体" w:hAnsi="宋体" w:cs="宋体"/>
                <w:kern w:val="0"/>
                <w:sz w:val="24"/>
              </w:rPr>
            </w:pPr>
            <w:r>
              <w:rPr>
                <w:rFonts w:hint="eastAsia" w:ascii="宋体" w:hAnsi="宋体" w:cs="宋体"/>
                <w:kern w:val="0"/>
                <w:sz w:val="24"/>
              </w:rPr>
              <w:t xml:space="preserve">  南方医科大学中西医结合医院</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乙   方（盖章）：</w:t>
            </w:r>
            <w:r>
              <w:rPr>
                <w:rFonts w:hint="eastAsia" w:ascii="宋体" w:hAnsi="宋体" w:cs="宋体"/>
                <w:kern w:val="0"/>
                <w:sz w:val="24"/>
              </w:rPr>
              <w:br w:type="textWrapping"/>
            </w:r>
            <w:r>
              <w:rPr>
                <w:rFonts w:hint="eastAsia" w:ascii="宋体" w:hAnsi="宋体" w:cs="宋体"/>
                <w:kern w:val="0"/>
                <w:sz w:val="24"/>
              </w:rPr>
              <w:t xml:space="preserve">   </w:t>
            </w:r>
          </w:p>
        </w:tc>
      </w:tr>
      <w:tr>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地   址：</w:t>
            </w:r>
          </w:p>
          <w:p>
            <w:pPr>
              <w:widowControl/>
              <w:jc w:val="left"/>
              <w:rPr>
                <w:rFonts w:ascii="宋体" w:hAnsi="宋体" w:cs="宋体"/>
                <w:kern w:val="0"/>
                <w:sz w:val="24"/>
              </w:rPr>
            </w:pPr>
            <w:r>
              <w:rPr>
                <w:rFonts w:hint="eastAsia" w:ascii="宋体" w:hAnsi="宋体" w:cs="宋体"/>
                <w:kern w:val="0"/>
                <w:sz w:val="24"/>
              </w:rPr>
              <w:t xml:space="preserve">  广州市海珠区石榴岗路13号</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rPr>
              <w:br w:type="textWrapping"/>
            </w:r>
            <w:r>
              <w:rPr>
                <w:rFonts w:hint="eastAsia" w:ascii="宋体" w:hAnsi="宋体" w:cs="宋体"/>
                <w:kern w:val="0"/>
                <w:sz w:val="24"/>
              </w:rPr>
              <w:t xml:space="preserve">   </w:t>
            </w:r>
          </w:p>
          <w:p>
            <w:pPr>
              <w:widowControl/>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法人代表：</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法人代表：</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联系电话：</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联系电话：</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开票名称：南方医科大学中西医结合医院</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ind w:left="480" w:hanging="480" w:hangingChars="200"/>
              <w:jc w:val="lef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rPr>
              <w:br w:type="textWrapping"/>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税    号：</w:t>
            </w:r>
            <w:r>
              <w:rPr>
                <w:rFonts w:ascii="宋体" w:hAnsi="宋体" w:cs="宋体"/>
                <w:kern w:val="0"/>
                <w:sz w:val="24"/>
              </w:rPr>
              <w:t xml:space="preserve"> 124400007994021652</w:t>
            </w:r>
          </w:p>
          <w:p>
            <w:pPr>
              <w:widowControl/>
              <w:jc w:val="left"/>
              <w:rPr>
                <w:rFonts w:ascii="宋体" w:hAnsi="宋体" w:cs="宋体"/>
                <w:kern w:val="0"/>
                <w:sz w:val="24"/>
              </w:rPr>
            </w:pP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 xml:space="preserve">户名： </w:t>
            </w:r>
          </w:p>
          <w:p>
            <w:pPr>
              <w:widowControl/>
              <w:ind w:firstLine="480" w:firstLineChars="200"/>
              <w:jc w:val="left"/>
              <w:rPr>
                <w:rFonts w:ascii="宋体" w:hAnsi="宋体" w:cs="宋体"/>
                <w:kern w:val="0"/>
                <w:sz w:val="24"/>
              </w:rPr>
            </w:pP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银行账号：</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银行账号：</w:t>
            </w:r>
          </w:p>
        </w:tc>
      </w:tr>
      <w:tr>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c>
          <w:tcPr>
            <w:tcW w:w="640" w:type="dxa"/>
            <w:tcBorders>
              <w:top w:val="nil"/>
              <w:left w:val="nil"/>
              <w:bottom w:val="nil"/>
              <w:right w:val="nil"/>
            </w:tcBorders>
            <w:vAlign w:val="center"/>
          </w:tcPr>
          <w:p>
            <w:pPr>
              <w:widowControl/>
              <w:jc w:val="left"/>
              <w:rPr>
                <w:rFonts w:ascii="宋体" w:hAnsi="宋体" w:cs="宋体"/>
                <w:kern w:val="0"/>
                <w:sz w:val="24"/>
              </w:rPr>
            </w:pPr>
          </w:p>
        </w:tc>
        <w:tc>
          <w:tcPr>
            <w:tcW w:w="4590" w:type="dxa"/>
            <w:tcBorders>
              <w:top w:val="nil"/>
              <w:left w:val="nil"/>
              <w:bottom w:val="nil"/>
              <w:right w:val="nil"/>
            </w:tcBorders>
            <w:vAlign w:val="center"/>
          </w:tcPr>
          <w:p>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r>
    </w:tbl>
    <w:p>
      <w:pPr>
        <w:widowControl/>
        <w:jc w:val="left"/>
        <w:rPr>
          <w:rFonts w:ascii="宋体" w:hAnsi="宋体"/>
          <w:b/>
          <w:spacing w:val="20"/>
          <w:sz w:val="28"/>
          <w:szCs w:val="28"/>
        </w:rPr>
      </w:pPr>
    </w:p>
    <w:p>
      <w:pPr>
        <w:autoSpaceDE w:val="0"/>
        <w:autoSpaceDN w:val="0"/>
        <w:adjustRightInd w:val="0"/>
        <w:spacing w:line="300" w:lineRule="auto"/>
        <w:jc w:val="center"/>
        <w:rPr>
          <w:rFonts w:ascii="宋体" w:hAnsi="宋体"/>
          <w:b/>
          <w:spacing w:val="20"/>
          <w:sz w:val="28"/>
          <w:szCs w:val="28"/>
        </w:rPr>
      </w:pPr>
    </w:p>
    <w:p>
      <w:pPr>
        <w:autoSpaceDE w:val="0"/>
        <w:autoSpaceDN w:val="0"/>
        <w:adjustRightInd w:val="0"/>
        <w:spacing w:line="300" w:lineRule="auto"/>
        <w:jc w:val="center"/>
        <w:rPr>
          <w:rFonts w:ascii="宋体" w:hAnsi="宋体"/>
          <w:b/>
          <w:spacing w:val="20"/>
          <w:sz w:val="28"/>
          <w:szCs w:val="28"/>
        </w:rPr>
      </w:pPr>
    </w:p>
    <w:p>
      <w:pPr>
        <w:autoSpaceDE w:val="0"/>
        <w:autoSpaceDN w:val="0"/>
        <w:adjustRightInd w:val="0"/>
        <w:spacing w:line="300" w:lineRule="auto"/>
        <w:jc w:val="center"/>
        <w:rPr>
          <w:rFonts w:ascii="宋体"/>
          <w:b/>
          <w:bCs/>
          <w:kern w:val="0"/>
          <w:sz w:val="24"/>
        </w:rPr>
      </w:pPr>
    </w:p>
    <w:p>
      <w:pPr>
        <w:tabs>
          <w:tab w:val="left" w:pos="540"/>
        </w:tabs>
        <w:spacing w:line="440" w:lineRule="exact"/>
        <w:rPr>
          <w:rFonts w:ascii="宋体" w:hAnsi="宋体"/>
          <w:spacing w:val="20"/>
          <w:szCs w:val="21"/>
        </w:rPr>
      </w:pPr>
    </w:p>
    <w:p>
      <w:pPr>
        <w:spacing w:line="360" w:lineRule="auto"/>
        <w:ind w:firstLine="420" w:firstLineChars="200"/>
        <w:rPr>
          <w:rFonts w:ascii="宋体" w:hAnsi="宋体"/>
          <w:szCs w:val="21"/>
        </w:rPr>
      </w:pPr>
      <w:r>
        <w:rPr>
          <w:rFonts w:hint="eastAsia" w:ascii="宋体" w:hAnsi="宋体"/>
          <w:szCs w:val="21"/>
        </w:rPr>
        <w:t>依据《中华人民共和国民法典》的规定，</w:t>
      </w:r>
      <w:r>
        <w:rPr>
          <w:rFonts w:hint="eastAsia" w:ascii="宋体" w:hAnsi="宋体"/>
          <w:b/>
          <w:spacing w:val="20"/>
          <w:szCs w:val="21"/>
        </w:rPr>
        <w:t>南方医科大学中西医结合</w:t>
      </w:r>
      <w:r>
        <w:rPr>
          <w:rFonts w:ascii="宋体" w:hAnsi="宋体"/>
          <w:b/>
          <w:szCs w:val="21"/>
        </w:rPr>
        <w:t>医院</w:t>
      </w:r>
      <w:r>
        <w:rPr>
          <w:rFonts w:hint="eastAsia" w:ascii="宋体" w:hAnsi="宋体"/>
          <w:b/>
          <w:szCs w:val="21"/>
        </w:rPr>
        <w:t>（</w:t>
      </w:r>
      <w:r>
        <w:rPr>
          <w:rFonts w:hint="eastAsia" w:ascii="宋体" w:hAnsi="宋体"/>
          <w:szCs w:val="21"/>
        </w:rPr>
        <w:t>以下简称“甲方”）与</w:t>
      </w:r>
      <w:r>
        <w:rPr>
          <w:rFonts w:hint="eastAsia" w:ascii="宋体" w:hAnsi="宋体"/>
          <w:b/>
          <w:spacing w:val="20"/>
          <w:szCs w:val="21"/>
          <w:u w:val="single"/>
        </w:rPr>
        <w:t xml:space="preserve"> </w:t>
      </w:r>
      <w:r>
        <w:rPr>
          <w:rFonts w:ascii="宋体" w:hAnsi="宋体"/>
          <w:b/>
          <w:spacing w:val="20"/>
          <w:szCs w:val="21"/>
          <w:u w:val="single"/>
        </w:rPr>
        <w:t xml:space="preserve">  </w:t>
      </w:r>
      <w:r>
        <w:rPr>
          <w:rFonts w:hint="eastAsia" w:ascii="宋体" w:hAnsi="宋体"/>
          <w:szCs w:val="21"/>
        </w:rPr>
        <w:t>（以下简称“乙方”）一致同意按以下条款订立《</w:t>
      </w:r>
      <w:r>
        <w:rPr>
          <w:rFonts w:hint="eastAsia" w:ascii="宋体" w:hAnsi="宋体"/>
          <w:spacing w:val="20"/>
          <w:szCs w:val="21"/>
        </w:rPr>
        <w:t>南方医科大学中西医结合</w:t>
      </w:r>
      <w:r>
        <w:rPr>
          <w:rFonts w:ascii="宋体" w:hAnsi="宋体"/>
          <w:szCs w:val="21"/>
        </w:rPr>
        <w:t>医院</w:t>
      </w:r>
      <w:r>
        <w:rPr>
          <w:rFonts w:ascii="宋体" w:hAnsi="宋体"/>
          <w:spacing w:val="20"/>
          <w:szCs w:val="21"/>
          <w:u w:val="single"/>
        </w:rPr>
        <w:t xml:space="preserve">  </w:t>
      </w:r>
      <w:r>
        <w:rPr>
          <w:rFonts w:hint="eastAsia" w:ascii="宋体" w:hAnsi="宋体"/>
          <w:spacing w:val="20"/>
          <w:szCs w:val="21"/>
          <w:u w:val="single"/>
        </w:rPr>
        <w:t>体检系统软件</w:t>
      </w:r>
      <w:r>
        <w:rPr>
          <w:rFonts w:ascii="宋体" w:hAnsi="宋体"/>
          <w:spacing w:val="20"/>
          <w:szCs w:val="21"/>
          <w:u w:val="single"/>
        </w:rPr>
        <w:t xml:space="preserve">    </w:t>
      </w:r>
      <w:r>
        <w:rPr>
          <w:rFonts w:hint="eastAsia" w:ascii="宋体" w:hAnsi="宋体"/>
          <w:szCs w:val="21"/>
        </w:rPr>
        <w:t>维保服务合同》（以下简称“本合同”）。具体如下</w:t>
      </w:r>
      <w:r>
        <w:rPr>
          <w:rFonts w:hint="eastAsia" w:ascii="宋体" w:hAnsi="宋体"/>
          <w:spacing w:val="30"/>
          <w:szCs w:val="21"/>
        </w:rPr>
        <w:t>：</w:t>
      </w:r>
    </w:p>
    <w:p>
      <w:pPr>
        <w:numPr>
          <w:ilvl w:val="0"/>
          <w:numId w:val="2"/>
        </w:numPr>
        <w:tabs>
          <w:tab w:val="left" w:pos="426"/>
          <w:tab w:val="clear" w:pos="720"/>
        </w:tabs>
        <w:adjustRightInd w:val="0"/>
        <w:spacing w:line="360" w:lineRule="auto"/>
        <w:ind w:left="426" w:hanging="426"/>
        <w:rPr>
          <w:rFonts w:ascii="宋体" w:hAnsi="宋体"/>
          <w:szCs w:val="21"/>
        </w:rPr>
      </w:pPr>
      <w:r>
        <w:rPr>
          <w:rFonts w:hint="eastAsia" w:ascii="宋体" w:hAnsi="宋体"/>
          <w:szCs w:val="21"/>
        </w:rPr>
        <w:t>甲方</w:t>
      </w:r>
      <w:r>
        <w:rPr>
          <w:rFonts w:ascii="宋体" w:hAnsi="宋体"/>
          <w:szCs w:val="21"/>
          <w:u w:val="single"/>
        </w:rPr>
        <w:t xml:space="preserve"> </w:t>
      </w:r>
      <w:r>
        <w:rPr>
          <w:rFonts w:hint="eastAsia" w:ascii="宋体" w:hAnsi="宋体"/>
          <w:spacing w:val="20"/>
          <w:szCs w:val="21"/>
          <w:u w:val="single"/>
        </w:rPr>
        <w:t>体检系统软件</w:t>
      </w:r>
      <w:r>
        <w:rPr>
          <w:rFonts w:ascii="宋体" w:hAnsi="宋体"/>
          <w:szCs w:val="21"/>
          <w:u w:val="single"/>
        </w:rPr>
        <w:t xml:space="preserve">  </w:t>
      </w:r>
      <w:r>
        <w:rPr>
          <w:rFonts w:hint="eastAsia" w:ascii="宋体" w:hAnsi="宋体"/>
          <w:szCs w:val="21"/>
        </w:rPr>
        <w:t>维护期已经到期，为保证系统正常稳定运行，特此双方签订下年度维护合同。</w:t>
      </w:r>
    </w:p>
    <w:p>
      <w:pPr>
        <w:spacing w:line="360" w:lineRule="auto"/>
        <w:outlineLvl w:val="0"/>
      </w:pPr>
      <w:r>
        <w:rPr>
          <w:rFonts w:hint="eastAsia"/>
          <w:b/>
        </w:rPr>
        <w:t>二、</w:t>
      </w:r>
      <w:r>
        <w:rPr>
          <w:rFonts w:hint="eastAsia"/>
        </w:rPr>
        <w:t>根据甲乙双方签订的协议，在付费维护期内，维护服务范围如下：</w:t>
      </w:r>
    </w:p>
    <w:tbl>
      <w:tblPr>
        <w:tblStyle w:val="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模块</w:t>
            </w:r>
          </w:p>
        </w:tc>
        <w:tc>
          <w:tcPr>
            <w:tcW w:w="8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功能描述</w:t>
            </w:r>
          </w:p>
        </w:tc>
      </w:tr>
      <w:tr>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795" w:hRule="atLeast"/>
        </w:trPr>
        <w:tc>
          <w:tcPr>
            <w:tcW w:w="10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体检系统</w:t>
            </w: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体检预约模块</w:t>
            </w:r>
          </w:p>
        </w:tc>
      </w:tr>
      <w:tr>
        <w:tblPrEx>
          <w:tblCellMar>
            <w:top w:w="0" w:type="dxa"/>
            <w:left w:w="108" w:type="dxa"/>
            <w:bottom w:w="0" w:type="dxa"/>
            <w:right w:w="108" w:type="dxa"/>
          </w:tblCellMar>
        </w:tblPrEx>
        <w:trPr>
          <w:trHeight w:val="54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体检登记模块</w:t>
            </w:r>
          </w:p>
        </w:tc>
      </w:tr>
      <w:tr>
        <w:tblPrEx>
          <w:tblCellMar>
            <w:top w:w="0" w:type="dxa"/>
            <w:left w:w="108" w:type="dxa"/>
            <w:bottom w:w="0" w:type="dxa"/>
            <w:right w:w="108" w:type="dxa"/>
          </w:tblCellMar>
        </w:tblPrEx>
        <w:trPr>
          <w:trHeight w:val="42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自动批量登记</w:t>
            </w:r>
          </w:p>
        </w:tc>
      </w:tr>
      <w:tr>
        <w:tblPrEx>
          <w:tblCellMar>
            <w:top w:w="0" w:type="dxa"/>
            <w:left w:w="108" w:type="dxa"/>
            <w:bottom w:w="0" w:type="dxa"/>
            <w:right w:w="108" w:type="dxa"/>
          </w:tblCellMar>
        </w:tblPrEx>
        <w:trPr>
          <w:trHeight w:val="34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单位分组</w:t>
            </w:r>
          </w:p>
        </w:tc>
      </w:tr>
      <w:tr>
        <w:tblPrEx>
          <w:tblCellMar>
            <w:top w:w="0" w:type="dxa"/>
            <w:left w:w="108" w:type="dxa"/>
            <w:bottom w:w="0" w:type="dxa"/>
            <w:right w:w="108" w:type="dxa"/>
          </w:tblCellMar>
        </w:tblPrEx>
        <w:trPr>
          <w:trHeight w:val="37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综合管理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体检标本管理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验血拍照</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结果录入</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报告打印</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主检审核</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数据查询</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体检报表</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数据维护</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样本管理</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自动防止漏检、设置拒检</w:t>
            </w:r>
          </w:p>
        </w:tc>
      </w:tr>
      <w:tr>
        <w:tblPrEx>
          <w:tblCellMar>
            <w:top w:w="0" w:type="dxa"/>
            <w:left w:w="108" w:type="dxa"/>
            <w:bottom w:w="0" w:type="dxa"/>
            <w:right w:w="108" w:type="dxa"/>
          </w:tblCellMar>
        </w:tblPrEx>
        <w:trPr>
          <w:trHeight w:val="82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总检医生诊台</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丰富的报表查询统计</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短信应用</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网站查询体检报告</w:t>
            </w:r>
          </w:p>
        </w:tc>
      </w:tr>
      <w:tr>
        <w:tblPrEx>
          <w:tblCellMar>
            <w:top w:w="0" w:type="dxa"/>
            <w:left w:w="108" w:type="dxa"/>
            <w:bottom w:w="0" w:type="dxa"/>
            <w:right w:w="108" w:type="dxa"/>
          </w:tblCellMar>
        </w:tblPrEx>
        <w:trPr>
          <w:trHeight w:val="450" w:hRule="atLeast"/>
        </w:trPr>
        <w:tc>
          <w:tcPr>
            <w:tcW w:w="1080"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提供标准第三方数据接口</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体检报告批量打印功能</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报表功能</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财务对接</w:t>
            </w:r>
          </w:p>
        </w:tc>
      </w:tr>
      <w:tr>
        <w:tblPrEx>
          <w:tblCellMar>
            <w:top w:w="0" w:type="dxa"/>
            <w:left w:w="108" w:type="dxa"/>
            <w:bottom w:w="0" w:type="dxa"/>
            <w:right w:w="108" w:type="dxa"/>
          </w:tblCellMar>
        </w:tblPrEx>
        <w:trPr>
          <w:trHeight w:val="675"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外出体检</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排检管理（B超叫号）</w:t>
            </w:r>
          </w:p>
        </w:tc>
      </w:tr>
      <w:tr>
        <w:tblPrEx>
          <w:tblCellMar>
            <w:top w:w="0" w:type="dxa"/>
            <w:left w:w="108" w:type="dxa"/>
            <w:bottom w:w="0" w:type="dxa"/>
            <w:right w:w="108" w:type="dxa"/>
          </w:tblCellMar>
        </w:tblPrEx>
        <w:trPr>
          <w:trHeight w:val="270" w:hRule="atLeast"/>
        </w:trPr>
        <w:tc>
          <w:tcPr>
            <w:tcW w:w="108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微信公众号</w:t>
            </w:r>
          </w:p>
        </w:tc>
      </w:tr>
    </w:tbl>
    <w:p>
      <w:pPr>
        <w:adjustRightInd w:val="0"/>
        <w:spacing w:line="420" w:lineRule="exact"/>
        <w:ind w:left="720"/>
        <w:rPr>
          <w:rFonts w:ascii="宋体" w:hAnsi="宋体"/>
          <w:szCs w:val="21"/>
        </w:rPr>
      </w:pPr>
      <w:r>
        <w:rPr>
          <w:rFonts w:hint="eastAsia" w:ascii="宋体" w:hAnsi="宋体"/>
          <w:szCs w:val="21"/>
        </w:rPr>
        <w:t>超出功能范围的内容，经甲乙双方友好协商后，按协商价格收取相应费用。</w:t>
      </w:r>
    </w:p>
    <w:p>
      <w:pPr>
        <w:adjustRightInd w:val="0"/>
        <w:spacing w:line="420" w:lineRule="exact"/>
        <w:ind w:left="720"/>
        <w:rPr>
          <w:rFonts w:ascii="宋体" w:hAnsi="宋体"/>
          <w:spacing w:val="30"/>
          <w:szCs w:val="21"/>
        </w:rPr>
      </w:pPr>
    </w:p>
    <w:p>
      <w:pPr>
        <w:adjustRightInd w:val="0"/>
        <w:spacing w:line="420" w:lineRule="exact"/>
        <w:ind w:left="720"/>
        <w:rPr>
          <w:rFonts w:ascii="宋体" w:hAnsi="宋体"/>
          <w:spacing w:val="30"/>
          <w:szCs w:val="21"/>
        </w:rPr>
      </w:pPr>
    </w:p>
    <w:p>
      <w:pPr>
        <w:outlineLvl w:val="0"/>
        <w:rPr>
          <w:rFonts w:ascii="宋体" w:hAnsi="宋体"/>
          <w:b/>
          <w:szCs w:val="21"/>
        </w:rPr>
      </w:pPr>
      <w:r>
        <w:rPr>
          <w:rFonts w:hint="eastAsia" w:ascii="宋体" w:hAnsi="宋体"/>
          <w:b/>
          <w:szCs w:val="21"/>
        </w:rPr>
        <w:t>三、</w:t>
      </w:r>
      <w:r>
        <w:rPr>
          <w:rFonts w:hint="eastAsia" w:ascii="宋体" w:hAnsi="宋体"/>
          <w:szCs w:val="21"/>
        </w:rPr>
        <w:t>乙方为甲方提供以下服务内容：</w:t>
      </w:r>
    </w:p>
    <w:p>
      <w:pPr>
        <w:spacing w:line="360" w:lineRule="auto"/>
        <w:ind w:left="424" w:leftChars="202"/>
        <w:rPr>
          <w:rFonts w:ascii="宋体" w:hAnsi="宋体"/>
          <w:szCs w:val="21"/>
        </w:rPr>
      </w:pPr>
      <w:r>
        <w:rPr>
          <w:rFonts w:hint="eastAsia" w:ascii="宋体" w:hAnsi="宋体"/>
          <w:b/>
          <w:szCs w:val="21"/>
        </w:rPr>
        <w:t>1、远程电话和网络支持：</w:t>
      </w:r>
      <w:r>
        <w:rPr>
          <w:rFonts w:hint="eastAsia" w:ascii="宋体" w:hAnsi="宋体"/>
          <w:szCs w:val="21"/>
        </w:rPr>
        <w:t>电话7×24小时远程支持及</w:t>
      </w:r>
      <w:r>
        <w:rPr>
          <w:rFonts w:hint="eastAsia" w:ascii="宋体" w:hAnsi="宋体"/>
          <w:spacing w:val="30"/>
          <w:szCs w:val="21"/>
        </w:rPr>
        <w:t>远程网络维护服务</w:t>
      </w:r>
      <w:r>
        <w:rPr>
          <w:rFonts w:hint="eastAsia" w:ascii="宋体" w:hAnsi="宋体"/>
          <w:szCs w:val="21"/>
        </w:rPr>
        <w:t>。</w:t>
      </w:r>
    </w:p>
    <w:p>
      <w:pPr>
        <w:spacing w:line="360" w:lineRule="auto"/>
        <w:ind w:left="424" w:leftChars="202"/>
        <w:rPr>
          <w:rFonts w:ascii="宋体" w:hAnsi="宋体"/>
          <w:szCs w:val="21"/>
        </w:rPr>
      </w:pPr>
      <w:r>
        <w:rPr>
          <w:rFonts w:hint="eastAsia" w:ascii="宋体" w:hAnsi="宋体"/>
          <w:b/>
          <w:szCs w:val="21"/>
        </w:rPr>
        <w:t>2、故障维护：</w:t>
      </w:r>
      <w:r>
        <w:rPr>
          <w:rFonts w:hint="eastAsia" w:ascii="宋体" w:hAnsi="宋体"/>
          <w:szCs w:val="21"/>
        </w:rPr>
        <w:t>指配合甲方解决系统运行过程中由于系统软件造成的故障，并在完成故障处理后出具产品维护报告，包含问题的原因、解决办法以及建议。</w:t>
      </w:r>
    </w:p>
    <w:p>
      <w:pPr>
        <w:spacing w:line="360" w:lineRule="auto"/>
        <w:ind w:left="424" w:leftChars="202"/>
        <w:rPr>
          <w:rFonts w:ascii="宋体" w:hAnsi="宋体"/>
          <w:szCs w:val="21"/>
        </w:rPr>
      </w:pPr>
      <w:r>
        <w:rPr>
          <w:rFonts w:hint="eastAsia" w:ascii="宋体" w:hAnsi="宋体"/>
          <w:b/>
          <w:szCs w:val="21"/>
        </w:rPr>
        <w:t>3、软件正确性维护：</w:t>
      </w:r>
      <w:r>
        <w:rPr>
          <w:rFonts w:hint="eastAsia" w:ascii="宋体" w:hAnsi="宋体"/>
          <w:szCs w:val="21"/>
        </w:rPr>
        <w:t>指软件运行过程中新发现的软件错误，乙方负责维护及时改进并且通知甲方，并且提供软件维护说明。</w:t>
      </w:r>
    </w:p>
    <w:p>
      <w:pPr>
        <w:spacing w:line="360" w:lineRule="auto"/>
        <w:ind w:left="424" w:leftChars="202"/>
        <w:rPr>
          <w:rFonts w:ascii="宋体" w:hAnsi="宋体"/>
          <w:szCs w:val="21"/>
        </w:rPr>
      </w:pPr>
      <w:r>
        <w:rPr>
          <w:rFonts w:hint="eastAsia" w:ascii="宋体" w:hAnsi="宋体"/>
          <w:b/>
          <w:szCs w:val="21"/>
        </w:rPr>
        <w:t>4、用户培训：</w:t>
      </w:r>
      <w:r>
        <w:rPr>
          <w:rFonts w:hint="eastAsia" w:ascii="宋体" w:hAnsi="宋体"/>
          <w:szCs w:val="21"/>
        </w:rPr>
        <w:t>负责系统的培训与指导：</w:t>
      </w:r>
    </w:p>
    <w:p>
      <w:pPr>
        <w:spacing w:line="360" w:lineRule="auto"/>
        <w:ind w:left="424" w:leftChars="202"/>
        <w:rPr>
          <w:rFonts w:ascii="宋体" w:hAnsi="宋体"/>
          <w:szCs w:val="21"/>
        </w:rPr>
      </w:pPr>
      <w:r>
        <w:rPr>
          <w:rFonts w:hint="eastAsia" w:ascii="宋体" w:hAnsi="宋体"/>
          <w:szCs w:val="21"/>
        </w:rPr>
        <w:t>一、软件更改后造成软件操作变化的使用培训，培训对象为信息科工程师，并提供新功能使用说明。</w:t>
      </w:r>
    </w:p>
    <w:p>
      <w:pPr>
        <w:spacing w:line="360" w:lineRule="auto"/>
        <w:ind w:left="424" w:leftChars="202"/>
        <w:rPr>
          <w:rFonts w:ascii="宋体" w:hAnsi="宋体"/>
          <w:szCs w:val="21"/>
        </w:rPr>
      </w:pPr>
      <w:r>
        <w:rPr>
          <w:rFonts w:hint="eastAsia" w:ascii="宋体" w:hAnsi="宋体"/>
          <w:szCs w:val="21"/>
        </w:rPr>
        <w:t>二、乙方提供两次的业务使用培训，由甲方组织相关使用软件的人员（包括医生、护士等）进行集中培训。</w:t>
      </w:r>
    </w:p>
    <w:p>
      <w:pPr>
        <w:spacing w:line="360" w:lineRule="auto"/>
        <w:ind w:left="424" w:leftChars="202"/>
        <w:rPr>
          <w:rFonts w:ascii="宋体" w:hAnsi="宋体"/>
          <w:szCs w:val="21"/>
        </w:rPr>
      </w:pPr>
      <w:r>
        <w:rPr>
          <w:rFonts w:hint="eastAsia" w:ascii="宋体" w:hAnsi="宋体"/>
          <w:b/>
          <w:szCs w:val="21"/>
        </w:rPr>
        <w:t>5、定期巡检：</w:t>
      </w:r>
      <w:r>
        <w:rPr>
          <w:rFonts w:hint="eastAsia" w:ascii="宋体" w:hAnsi="宋体"/>
          <w:szCs w:val="21"/>
        </w:rPr>
        <w:t>乙方每季度一次的定期现场巡检，对用户应用软件的软硬件环境进行检查；及时发现系统隐患保障系统稳定运行，并出具系统巡检报告，该报告内容包含巡检结果以及巡检建议。但该检查必须经过甲方的许可。</w:t>
      </w:r>
    </w:p>
    <w:p>
      <w:pPr>
        <w:spacing w:line="360" w:lineRule="auto"/>
        <w:ind w:left="424" w:leftChars="202"/>
        <w:rPr>
          <w:rFonts w:ascii="宋体" w:hAnsi="宋体"/>
          <w:szCs w:val="21"/>
        </w:rPr>
      </w:pPr>
      <w:r>
        <w:rPr>
          <w:rFonts w:hint="eastAsia" w:ascii="宋体" w:hAnsi="宋体"/>
          <w:b/>
          <w:szCs w:val="21"/>
        </w:rPr>
        <w:t>6、需求的更新：</w:t>
      </w:r>
      <w:r>
        <w:rPr>
          <w:rFonts w:hint="eastAsia" w:ascii="宋体" w:hAnsi="宋体"/>
          <w:szCs w:val="21"/>
        </w:rPr>
        <w:t>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pPr>
        <w:spacing w:line="360" w:lineRule="auto"/>
        <w:ind w:left="424" w:leftChars="202"/>
        <w:rPr>
          <w:rFonts w:ascii="宋体" w:hAnsi="宋体"/>
          <w:szCs w:val="21"/>
        </w:rPr>
      </w:pPr>
      <w:r>
        <w:rPr>
          <w:rFonts w:hint="eastAsia" w:ascii="宋体" w:hAnsi="宋体"/>
          <w:b/>
          <w:szCs w:val="21"/>
        </w:rPr>
        <w:t>7、系统建设咨询：</w:t>
      </w:r>
      <w:r>
        <w:rPr>
          <w:rFonts w:hint="eastAsia" w:ascii="宋体" w:hAnsi="宋体"/>
          <w:szCs w:val="21"/>
        </w:rPr>
        <w:t>指系统在运行过程中，乙方将不定期地向甲方提供医院信息化建设的咨询服务。</w:t>
      </w:r>
    </w:p>
    <w:p>
      <w:pPr>
        <w:spacing w:line="360" w:lineRule="auto"/>
        <w:ind w:left="424" w:leftChars="202"/>
        <w:rPr>
          <w:rFonts w:ascii="宋体" w:hAnsi="宋体"/>
          <w:b/>
          <w:szCs w:val="21"/>
        </w:rPr>
      </w:pPr>
      <w:r>
        <w:rPr>
          <w:rFonts w:hint="eastAsia" w:ascii="宋体" w:hAnsi="宋体"/>
          <w:b/>
          <w:szCs w:val="21"/>
        </w:rPr>
        <w:t>8、回应承诺：</w:t>
      </w:r>
    </w:p>
    <w:p>
      <w:pPr>
        <w:spacing w:line="360" w:lineRule="auto"/>
        <w:ind w:left="424" w:leftChars="202"/>
        <w:rPr>
          <w:rFonts w:ascii="宋体" w:hAnsi="宋体"/>
          <w:szCs w:val="21"/>
        </w:rPr>
      </w:pPr>
      <w:r>
        <w:rPr>
          <w:rFonts w:hint="eastAsia" w:ascii="宋体" w:hAnsi="宋体"/>
          <w:szCs w:val="21"/>
        </w:rPr>
        <w:t>1）在维护期内，如软件系统故障，乙方需在接到通知后30分钟予以响应，共同协商解决方案。</w:t>
      </w:r>
    </w:p>
    <w:p>
      <w:pPr>
        <w:spacing w:line="360" w:lineRule="auto"/>
        <w:ind w:left="424" w:leftChars="202"/>
        <w:rPr>
          <w:rFonts w:ascii="宋体" w:hAnsi="宋体"/>
          <w:szCs w:val="21"/>
        </w:rPr>
      </w:pPr>
      <w:r>
        <w:rPr>
          <w:rFonts w:hint="eastAsia" w:ascii="宋体" w:hAnsi="宋体"/>
          <w:szCs w:val="21"/>
        </w:rPr>
        <w:t>2）若需要工程师前往现场，除约定到达时间外，一般要求在2小时到达甲方指定现场。</w:t>
      </w:r>
    </w:p>
    <w:p>
      <w:pPr>
        <w:numPr>
          <w:ilvl w:val="0"/>
          <w:numId w:val="3"/>
        </w:numPr>
        <w:tabs>
          <w:tab w:val="left" w:pos="142"/>
        </w:tabs>
        <w:spacing w:line="360" w:lineRule="auto"/>
        <w:ind w:left="710" w:leftChars="203" w:hanging="284"/>
        <w:rPr>
          <w:rFonts w:ascii="宋体" w:hAnsi="宋体"/>
          <w:szCs w:val="21"/>
        </w:rPr>
      </w:pPr>
      <w:r>
        <w:rPr>
          <w:rFonts w:hint="eastAsia" w:ascii="宋体" w:hAnsi="宋体"/>
          <w:szCs w:val="21"/>
        </w:rPr>
        <w:t>工程师在到达现场后，经现场调查后，除约定时间外，一般要求6小时内排除故障。</w:t>
      </w:r>
    </w:p>
    <w:p>
      <w:pPr>
        <w:numPr>
          <w:ilvl w:val="0"/>
          <w:numId w:val="3"/>
        </w:numPr>
        <w:tabs>
          <w:tab w:val="left" w:pos="426"/>
        </w:tabs>
        <w:spacing w:line="360" w:lineRule="auto"/>
        <w:ind w:left="424" w:leftChars="202" w:firstLine="0"/>
        <w:rPr>
          <w:rFonts w:ascii="宋体" w:hAnsi="宋体"/>
          <w:spacing w:val="30"/>
          <w:szCs w:val="21"/>
        </w:rPr>
      </w:pPr>
      <w:r>
        <w:rPr>
          <w:rFonts w:hint="eastAsia" w:ascii="宋体" w:hAnsi="宋体"/>
          <w:szCs w:val="21"/>
        </w:rPr>
        <w:t>如因软件需求修改要求工程师现场维护的，乙方将在24小时内予以回应，给出具体解决方案和时间表，并经甲方批准后，遵照方案和时间表严格执行。</w:t>
      </w:r>
    </w:p>
    <w:p>
      <w:pPr>
        <w:tabs>
          <w:tab w:val="left" w:pos="426"/>
        </w:tabs>
        <w:spacing w:line="360" w:lineRule="auto"/>
        <w:ind w:left="424"/>
        <w:rPr>
          <w:rFonts w:ascii="宋体" w:hAnsi="宋体"/>
          <w:b/>
          <w:szCs w:val="21"/>
        </w:rPr>
      </w:pPr>
      <w:r>
        <w:rPr>
          <w:rFonts w:hint="eastAsia" w:ascii="宋体" w:hAnsi="宋体"/>
          <w:b/>
          <w:szCs w:val="21"/>
        </w:rPr>
        <w:t>9、每年一次定制开发：</w:t>
      </w:r>
      <w:r>
        <w:rPr>
          <w:rFonts w:hint="eastAsia" w:ascii="宋体" w:hAnsi="宋体"/>
          <w:bCs/>
          <w:szCs w:val="21"/>
        </w:rPr>
        <w:t>根据甲方需求，做软件功能的定制开发，如系统对接、改造等。</w:t>
      </w:r>
    </w:p>
    <w:p>
      <w:pPr>
        <w:tabs>
          <w:tab w:val="left" w:pos="426"/>
        </w:tabs>
        <w:spacing w:line="360" w:lineRule="auto"/>
        <w:ind w:left="424"/>
        <w:rPr>
          <w:rFonts w:ascii="宋体" w:hAnsi="宋体"/>
          <w:szCs w:val="21"/>
        </w:rPr>
      </w:pPr>
      <w:r>
        <w:rPr>
          <w:rFonts w:hint="eastAsia" w:ascii="宋体" w:hAnsi="宋体"/>
          <w:b/>
          <w:szCs w:val="21"/>
        </w:rPr>
        <w:t>10、免费升级到新版本和功能：</w:t>
      </w:r>
      <w:r>
        <w:rPr>
          <w:rFonts w:ascii="宋体" w:hAnsi="宋体"/>
          <w:b/>
          <w:szCs w:val="21"/>
        </w:rPr>
        <w:t xml:space="preserve"> </w:t>
      </w:r>
      <w:r>
        <w:rPr>
          <w:rFonts w:hint="eastAsia" w:ascii="宋体" w:hAnsi="宋体"/>
          <w:szCs w:val="21"/>
        </w:rPr>
        <w:t>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pPr>
        <w:tabs>
          <w:tab w:val="left" w:pos="426"/>
        </w:tabs>
        <w:spacing w:line="360" w:lineRule="auto"/>
        <w:ind w:left="424"/>
        <w:rPr>
          <w:rFonts w:ascii="宋体" w:hAnsi="宋体"/>
          <w:b/>
          <w:szCs w:val="21"/>
        </w:rPr>
      </w:pPr>
      <w:r>
        <w:rPr>
          <w:rFonts w:ascii="宋体" w:hAnsi="宋体"/>
          <w:b/>
          <w:szCs w:val="21"/>
        </w:rPr>
        <w:t>11、新增功能及需求</w:t>
      </w:r>
    </w:p>
    <w:p>
      <w:pPr>
        <w:tabs>
          <w:tab w:val="left" w:pos="426"/>
        </w:tabs>
        <w:spacing w:line="360" w:lineRule="auto"/>
        <w:ind w:left="424"/>
        <w:rPr>
          <w:rFonts w:ascii="宋体" w:hAnsi="宋体"/>
          <w:szCs w:val="21"/>
        </w:rPr>
      </w:pPr>
      <w:r>
        <w:rPr>
          <w:rFonts w:ascii="宋体" w:hAnsi="宋体"/>
          <w:szCs w:val="21"/>
        </w:rPr>
        <w:t>对因业务或流程改造而提出的新功能需求，在现有软件基础上进行的定制性修改；标准接口之外的接口开发。简单定制性开发定义为一个合同年内工作量（包括开发和现场工程）小于</w:t>
      </w:r>
      <w:r>
        <w:rPr>
          <w:rFonts w:hint="eastAsia" w:ascii="宋体" w:hAnsi="宋体"/>
          <w:szCs w:val="21"/>
        </w:rPr>
        <w:t>1</w:t>
      </w:r>
      <w:r>
        <w:rPr>
          <w:rFonts w:ascii="宋体" w:hAnsi="宋体"/>
          <w:szCs w:val="21"/>
        </w:rPr>
        <w:t>0人</w:t>
      </w:r>
      <w:r>
        <w:rPr>
          <w:rFonts w:hint="eastAsia" w:ascii="宋体" w:hAnsi="宋体"/>
          <w:szCs w:val="21"/>
        </w:rPr>
        <w:t>/天的功能新增及修改；对于定制性开发工作量大于1</w:t>
      </w:r>
      <w:r>
        <w:rPr>
          <w:rFonts w:ascii="宋体" w:hAnsi="宋体"/>
          <w:szCs w:val="21"/>
        </w:rPr>
        <w:t>0人</w:t>
      </w:r>
      <w:r>
        <w:rPr>
          <w:rFonts w:hint="eastAsia" w:ascii="宋体" w:hAnsi="宋体"/>
          <w:szCs w:val="21"/>
        </w:rPr>
        <w:t>/天的，根据工作量进行报价。对工作量的估算由甲乙双方共同商议确定。</w:t>
      </w:r>
    </w:p>
    <w:p>
      <w:pPr>
        <w:adjustRightInd w:val="0"/>
        <w:spacing w:line="360" w:lineRule="auto"/>
        <w:outlineLvl w:val="0"/>
        <w:rPr>
          <w:rFonts w:ascii="宋体" w:hAnsi="宋体"/>
          <w:b/>
          <w:szCs w:val="21"/>
        </w:rPr>
      </w:pPr>
      <w:r>
        <w:rPr>
          <w:rFonts w:hint="eastAsia" w:ascii="宋体" w:hAnsi="宋体"/>
          <w:b/>
          <w:szCs w:val="21"/>
        </w:rPr>
        <w:t>四、</w:t>
      </w:r>
      <w:r>
        <w:rPr>
          <w:rFonts w:hint="eastAsia" w:ascii="宋体" w:hAnsi="宋体"/>
          <w:szCs w:val="21"/>
        </w:rPr>
        <w:t>服务时间</w:t>
      </w:r>
    </w:p>
    <w:p>
      <w:pPr>
        <w:tabs>
          <w:tab w:val="left" w:pos="567"/>
        </w:tabs>
        <w:adjustRightInd w:val="0"/>
        <w:spacing w:line="360" w:lineRule="auto"/>
        <w:ind w:left="424" w:leftChars="202"/>
        <w:rPr>
          <w:rFonts w:ascii="宋体" w:hAnsi="宋体"/>
          <w:szCs w:val="21"/>
        </w:rPr>
      </w:pPr>
      <w:r>
        <w:rPr>
          <w:rFonts w:hint="eastAsia" w:ascii="宋体" w:hAnsi="宋体"/>
          <w:szCs w:val="21"/>
        </w:rPr>
        <w:t>本次维护周期为</w:t>
      </w:r>
      <w:r>
        <w:rPr>
          <w:rFonts w:hint="eastAsia" w:ascii="宋体" w:hAnsi="宋体"/>
          <w:szCs w:val="21"/>
          <w:u w:val="single"/>
        </w:rPr>
        <w:t xml:space="preserve"> </w:t>
      </w:r>
      <w:r>
        <w:rPr>
          <w:rFonts w:ascii="宋体" w:hAnsi="宋体"/>
          <w:szCs w:val="21"/>
          <w:u w:val="single"/>
        </w:rPr>
        <w:t xml:space="preserve">一 </w:t>
      </w:r>
      <w:r>
        <w:rPr>
          <w:rFonts w:hint="eastAsia" w:ascii="宋体" w:hAnsi="宋体"/>
          <w:szCs w:val="21"/>
        </w:rPr>
        <w:t>年，维护时间段：从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autoSpaceDE w:val="0"/>
        <w:autoSpaceDN w:val="0"/>
        <w:snapToGrid w:val="0"/>
        <w:spacing w:before="312" w:beforeLines="100" w:after="156" w:afterLines="50" w:line="360" w:lineRule="auto"/>
        <w:outlineLvl w:val="0"/>
        <w:rPr>
          <w:rFonts w:ascii="宋体" w:hAnsi="宋体"/>
          <w:szCs w:val="21"/>
        </w:rPr>
      </w:pPr>
      <w:r>
        <w:rPr>
          <w:rFonts w:hint="eastAsia" w:ascii="宋体" w:hAnsi="宋体"/>
          <w:b/>
          <w:szCs w:val="21"/>
        </w:rPr>
        <w:t>五、</w:t>
      </w:r>
      <w:r>
        <w:rPr>
          <w:rFonts w:hint="eastAsia" w:ascii="宋体" w:hAnsi="宋体"/>
          <w:szCs w:val="21"/>
        </w:rPr>
        <w:t>付款内容及付款方式</w:t>
      </w:r>
    </w:p>
    <w:p>
      <w:pPr>
        <w:spacing w:line="360" w:lineRule="auto"/>
        <w:ind w:left="424" w:leftChars="202" w:firstLine="2"/>
        <w:rPr>
          <w:rFonts w:ascii="宋体" w:hAnsi="宋体"/>
          <w:szCs w:val="21"/>
        </w:rPr>
      </w:pPr>
      <w:r>
        <w:rPr>
          <w:rFonts w:hint="eastAsia" w:ascii="宋体" w:hAnsi="宋体"/>
          <w:szCs w:val="21"/>
        </w:rPr>
        <w:t>1、付款内容：根据甲乙双方约定，每年维护费金额为：人民币（大写）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hint="eastAsia" w:ascii="宋体" w:hAnsi="宋体"/>
          <w:szCs w:val="21"/>
        </w:rPr>
        <w:t xml:space="preserve">）。  </w:t>
      </w:r>
    </w:p>
    <w:p>
      <w:pPr>
        <w:spacing w:line="360" w:lineRule="auto"/>
        <w:ind w:left="424" w:leftChars="202" w:firstLine="2"/>
        <w:rPr>
          <w:rFonts w:ascii="宋体" w:hAnsi="宋体" w:cs="宋体"/>
          <w:color w:val="000000"/>
          <w:kern w:val="0"/>
          <w:szCs w:val="21"/>
        </w:rPr>
      </w:pPr>
      <w:r>
        <w:rPr>
          <w:rFonts w:hint="eastAsia" w:ascii="宋体" w:hAnsi="宋体"/>
          <w:szCs w:val="21"/>
        </w:rPr>
        <w:t>2、付款</w:t>
      </w:r>
      <w:r>
        <w:rPr>
          <w:rFonts w:hint="eastAsia"/>
        </w:rPr>
        <w:t>方式：签订合同后乙方开具合同总价的</w:t>
      </w:r>
      <w:r>
        <w:t>5</w:t>
      </w:r>
      <w:r>
        <w:rPr>
          <w:rFonts w:hint="eastAsia"/>
        </w:rPr>
        <w:t>0%发票，</w:t>
      </w:r>
      <w:r>
        <w:rPr>
          <w:rFonts w:hint="eastAsia" w:ascii="宋体" w:hAnsi="宋体" w:cs="宋体"/>
          <w:color w:val="000000"/>
          <w:kern w:val="0"/>
          <w:szCs w:val="21"/>
        </w:rPr>
        <w:t>即</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rPr>
        <w:t>甲方收到乙方发票后</w:t>
      </w:r>
      <w:r>
        <w:rPr>
          <w:rFonts w:ascii="宋体" w:hAnsi="宋体" w:cs="宋体"/>
          <w:color w:val="000000"/>
          <w:kern w:val="0"/>
          <w:szCs w:val="21"/>
        </w:rPr>
        <w:t>30</w:t>
      </w:r>
      <w:r>
        <w:rPr>
          <w:rFonts w:hint="eastAsia" w:ascii="宋体" w:hAnsi="宋体" w:cs="宋体"/>
          <w:color w:val="000000"/>
          <w:kern w:val="0"/>
          <w:szCs w:val="21"/>
        </w:rPr>
        <w:t>个工作日内完成支付。服务年期满并且验收合格后，</w:t>
      </w:r>
      <w:r>
        <w:rPr>
          <w:rFonts w:hint="eastAsia"/>
        </w:rPr>
        <w:t>乙方开具合同总价的</w:t>
      </w:r>
      <w:r>
        <w:t>5</w:t>
      </w:r>
      <w:r>
        <w:rPr>
          <w:rFonts w:hint="eastAsia"/>
        </w:rPr>
        <w:t>0%发票，</w:t>
      </w:r>
      <w:r>
        <w:rPr>
          <w:rFonts w:hint="eastAsia" w:ascii="宋体" w:hAnsi="宋体" w:cs="宋体"/>
          <w:color w:val="000000"/>
          <w:kern w:val="0"/>
          <w:szCs w:val="21"/>
        </w:rPr>
        <w:t>即</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元整（￥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rPr>
        <w:t>甲方收到乙方发票后</w:t>
      </w:r>
      <w:r>
        <w:rPr>
          <w:rFonts w:ascii="宋体" w:hAnsi="宋体" w:cs="宋体"/>
          <w:color w:val="000000"/>
          <w:kern w:val="0"/>
          <w:szCs w:val="21"/>
        </w:rPr>
        <w:t>30</w:t>
      </w:r>
      <w:r>
        <w:rPr>
          <w:rFonts w:hint="eastAsia" w:ascii="宋体" w:hAnsi="宋体" w:cs="宋体"/>
          <w:color w:val="000000"/>
          <w:kern w:val="0"/>
          <w:szCs w:val="21"/>
        </w:rPr>
        <w:t>个工作日内完成支付。</w:t>
      </w:r>
    </w:p>
    <w:p>
      <w:pPr>
        <w:spacing w:line="360" w:lineRule="auto"/>
        <w:rPr>
          <w:rFonts w:ascii="宋体" w:hAnsi="宋体" w:cs="宋体"/>
          <w:b/>
          <w:bCs/>
          <w:kern w:val="0"/>
          <w:szCs w:val="21"/>
        </w:rPr>
      </w:pPr>
      <w:r>
        <w:rPr>
          <w:rFonts w:hint="eastAsia" w:ascii="宋体" w:hAnsi="宋体"/>
          <w:b/>
          <w:szCs w:val="21"/>
        </w:rPr>
        <w:t>六</w:t>
      </w:r>
      <w:r>
        <w:rPr>
          <w:rFonts w:hint="eastAsia" w:ascii="宋体" w:hAnsi="宋体" w:cs="宋体"/>
          <w:b/>
          <w:bCs/>
          <w:kern w:val="0"/>
          <w:szCs w:val="21"/>
        </w:rPr>
        <w:t>、</w:t>
      </w:r>
      <w:r>
        <w:rPr>
          <w:rFonts w:hint="eastAsia" w:ascii="宋体" w:hAnsi="宋体" w:cs="宋体"/>
          <w:bCs/>
          <w:kern w:val="0"/>
          <w:szCs w:val="21"/>
        </w:rPr>
        <w:t>违约责任</w:t>
      </w:r>
    </w:p>
    <w:p>
      <w:pPr>
        <w:tabs>
          <w:tab w:val="left" w:pos="567"/>
        </w:tabs>
        <w:adjustRightInd w:val="0"/>
        <w:spacing w:line="360" w:lineRule="auto"/>
        <w:ind w:left="424" w:leftChars="202"/>
        <w:rPr>
          <w:rFonts w:ascii="宋体" w:hAnsi="宋体"/>
          <w:szCs w:val="21"/>
        </w:rPr>
      </w:pPr>
      <w:r>
        <w:rPr>
          <w:rFonts w:hint="eastAsia" w:ascii="宋体" w:hAnsi="宋体"/>
          <w:szCs w:val="21"/>
        </w:rPr>
        <w:t>1.甲方逾期付款的，每逾期一日，按合同金额的万分之三向乙方偿付违约金，累计付违约金不超过合同总金额的1</w:t>
      </w:r>
      <w:r>
        <w:rPr>
          <w:rFonts w:ascii="宋体" w:hAnsi="宋体"/>
          <w:szCs w:val="21"/>
        </w:rPr>
        <w:t>0%</w:t>
      </w:r>
      <w:r>
        <w:rPr>
          <w:rFonts w:hint="eastAsia" w:ascii="宋体" w:hAnsi="宋体"/>
          <w:szCs w:val="21"/>
        </w:rPr>
        <w:t>。逾期超过40天，乙方有权提前解除合同，甲方按合同总金额万分之三向乙方支付违约金。</w:t>
      </w:r>
    </w:p>
    <w:p>
      <w:pPr>
        <w:tabs>
          <w:tab w:val="left" w:pos="567"/>
        </w:tabs>
        <w:adjustRightInd w:val="0"/>
        <w:spacing w:line="360" w:lineRule="auto"/>
        <w:ind w:left="424" w:leftChars="202"/>
        <w:rPr>
          <w:rFonts w:ascii="宋体" w:hAnsi="宋体"/>
          <w:szCs w:val="21"/>
        </w:rPr>
      </w:pPr>
      <w:r>
        <w:rPr>
          <w:rFonts w:hint="eastAsia" w:ascii="宋体" w:hAnsi="宋体"/>
          <w:szCs w:val="21"/>
        </w:rPr>
        <w:t>2.乙方逾期提供服务的，每逾期一日，按合同金额的万分之三向甲方偿付违约金，累计付违约金不超过合同总金额。逾期超过40天，甲方有权提前解除合同，乙方按合同总金额万分之三向甲方支付违约金。</w:t>
      </w:r>
    </w:p>
    <w:p>
      <w:pPr>
        <w:tabs>
          <w:tab w:val="left" w:pos="567"/>
        </w:tabs>
        <w:adjustRightInd w:val="0"/>
        <w:spacing w:line="360" w:lineRule="auto"/>
        <w:ind w:left="424" w:leftChars="202"/>
        <w:rPr>
          <w:rFonts w:ascii="宋体" w:hAnsi="宋体"/>
          <w:szCs w:val="21"/>
        </w:rPr>
      </w:pPr>
      <w:r>
        <w:rPr>
          <w:rFonts w:hint="eastAsia" w:ascii="宋体" w:hAnsi="宋体"/>
          <w:szCs w:val="21"/>
        </w:rPr>
        <w:t>3.</w:t>
      </w:r>
      <w:r>
        <w:rPr>
          <w:rFonts w:hint="eastAsia"/>
        </w:rPr>
        <w:t xml:space="preserve"> </w:t>
      </w:r>
      <w:r>
        <w:rPr>
          <w:rFonts w:hint="eastAsia" w:ascii="宋体" w:hAnsi="宋体"/>
          <w:szCs w:val="21"/>
        </w:rPr>
        <w:t>由于乙方接到通知后未能及时对情况做出处理，而造成系统不能尽快恢复使用，甲方将按合同金额的1</w:t>
      </w:r>
      <w:r>
        <w:rPr>
          <w:rFonts w:ascii="宋体" w:hAnsi="宋体"/>
          <w:szCs w:val="21"/>
        </w:rPr>
        <w:t>%</w:t>
      </w:r>
      <w:r>
        <w:rPr>
          <w:rFonts w:hint="eastAsia" w:ascii="宋体" w:hAnsi="宋体"/>
          <w:szCs w:val="21"/>
        </w:rPr>
        <w:t xml:space="preserve"> / 天 对延期进行处罚，在维护保养费用中进行扣除。</w:t>
      </w:r>
    </w:p>
    <w:p>
      <w:pPr>
        <w:tabs>
          <w:tab w:val="left" w:pos="567"/>
        </w:tabs>
        <w:adjustRightInd w:val="0"/>
        <w:spacing w:line="360" w:lineRule="auto"/>
        <w:ind w:left="424" w:leftChars="20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不可抗力出现时，双方免责。不可抗力包括：战争、自然灾害等。</w:t>
      </w:r>
    </w:p>
    <w:p>
      <w:pPr>
        <w:tabs>
          <w:tab w:val="left" w:pos="567"/>
        </w:tabs>
        <w:adjustRightInd w:val="0"/>
        <w:spacing w:line="360" w:lineRule="auto"/>
        <w:ind w:left="424" w:leftChars="202"/>
        <w:rPr>
          <w:rFonts w:ascii="宋体" w:hAnsi="宋体"/>
          <w:szCs w:val="21"/>
        </w:rPr>
      </w:pPr>
      <w:r>
        <w:rPr>
          <w:rFonts w:ascii="宋体" w:hAnsi="宋体"/>
          <w:szCs w:val="21"/>
        </w:rPr>
        <w:t>5.</w:t>
      </w:r>
      <w:r>
        <w:rPr>
          <w:rFonts w:hint="eastAsia" w:ascii="宋体" w:hAnsi="宋体"/>
          <w:szCs w:val="21"/>
        </w:rPr>
        <w:t>双方本着长期友好合作的精神，协商解决软件实施过程中的问题及纠纷。双方一致同意，当协商不成时，任何一方可在甲方所在地人民法院起诉。</w:t>
      </w:r>
    </w:p>
    <w:p>
      <w:pPr>
        <w:adjustRightInd w:val="0"/>
        <w:spacing w:line="360" w:lineRule="auto"/>
        <w:outlineLvl w:val="0"/>
        <w:rPr>
          <w:rFonts w:ascii="宋体" w:hAnsi="宋体"/>
          <w:szCs w:val="21"/>
        </w:rPr>
      </w:pPr>
      <w:r>
        <w:rPr>
          <w:rFonts w:hint="eastAsia" w:ascii="宋体" w:hAnsi="宋体"/>
          <w:b/>
          <w:szCs w:val="21"/>
        </w:rPr>
        <w:t>七、</w:t>
      </w:r>
      <w:r>
        <w:rPr>
          <w:rFonts w:hint="eastAsia" w:ascii="宋体" w:hAnsi="宋体"/>
          <w:szCs w:val="21"/>
        </w:rPr>
        <w:t>知识产权保证及保密义务条款</w:t>
      </w:r>
    </w:p>
    <w:p>
      <w:pPr>
        <w:tabs>
          <w:tab w:val="left" w:pos="567"/>
        </w:tabs>
        <w:adjustRightInd w:val="0"/>
        <w:spacing w:line="360" w:lineRule="auto"/>
        <w:ind w:left="424" w:leftChars="20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乙方应保证拥有合同软件及其所包含的软件（含第三方软件）的永久使用权，确保甲方及用户能够在中国境内合法正常地运行合同软件。</w:t>
      </w:r>
    </w:p>
    <w:p>
      <w:pPr>
        <w:tabs>
          <w:tab w:val="left" w:pos="567"/>
        </w:tabs>
        <w:adjustRightInd w:val="0"/>
        <w:spacing w:line="360" w:lineRule="auto"/>
        <w:ind w:left="424" w:leftChars="20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乙方所提供的合同软件不应存在任何权利瑕疵，乙方应保证甲方免于遭受因第三方提起侵权索赔而产生的任何损失。如果任何第三方向甲方提起侵权索赔，乙方应负责与之进行交涉，并承担由此引起的一切责任，包括不限于甲方为此付出的赔偿费用、诉讼费、律师费、公证费、重新招标采购费用等一切为此付出的费用。</w:t>
      </w:r>
    </w:p>
    <w:p>
      <w:pPr>
        <w:tabs>
          <w:tab w:val="left" w:pos="567"/>
        </w:tabs>
        <w:adjustRightInd w:val="0"/>
        <w:spacing w:line="360" w:lineRule="auto"/>
        <w:ind w:left="424" w:leftChars="20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因乙方提供的合同软件侵犯第三方知识产权，导致甲方无法使用合同软件的，乙方应按甲方要求退还已收取的所有的合同价款，并赔偿甲方因此发生的全部损失。</w:t>
      </w:r>
    </w:p>
    <w:p>
      <w:pPr>
        <w:tabs>
          <w:tab w:val="left" w:pos="567"/>
        </w:tabs>
        <w:adjustRightInd w:val="0"/>
        <w:spacing w:line="360" w:lineRule="auto"/>
        <w:ind w:left="424" w:leftChars="20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乙方对在合同服务期间获得的甲方的所有数据、信息、资料等都具有保密义务，合同结束后，乙方应及时移交相关存储数据。</w:t>
      </w:r>
    </w:p>
    <w:p>
      <w:pPr>
        <w:adjustRightInd w:val="0"/>
        <w:spacing w:line="360" w:lineRule="auto"/>
        <w:outlineLvl w:val="0"/>
        <w:rPr>
          <w:rFonts w:ascii="宋体" w:hAnsi="宋体"/>
          <w:b/>
          <w:szCs w:val="21"/>
        </w:rPr>
      </w:pPr>
      <w:r>
        <w:rPr>
          <w:rFonts w:ascii="宋体" w:hAnsi="宋体"/>
          <w:b/>
          <w:szCs w:val="21"/>
        </w:rPr>
        <w:t>八、</w:t>
      </w:r>
      <w:r>
        <w:rPr>
          <w:rFonts w:hint="eastAsia" w:ascii="宋体" w:hAnsi="宋体"/>
          <w:szCs w:val="21"/>
        </w:rPr>
        <w:t>本合同自签订之日起由双方的代表人签字和盖章后生效。本合同一式是六份。甲方持五份，乙方持一份，具有同等法律效力。</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420" w:firstLineChars="0"/>
        <w:rPr>
          <w:rFonts w:hint="eastAsia"/>
          <w:lang w:val="en-US" w:eastAsia="zh-CN"/>
        </w:rPr>
      </w:pPr>
    </w:p>
    <w:p>
      <w:pPr>
        <w:ind w:firstLine="420" w:firstLineChars="0"/>
        <w:rPr>
          <w:rFonts w:hint="eastAsia"/>
          <w:lang w:val="en-US" w:eastAsia="zh-CN"/>
        </w:rPr>
      </w:pPr>
    </w:p>
    <w:p>
      <w:pPr>
        <w:ind w:firstLine="420" w:firstLineChars="0"/>
        <w:rPr>
          <w:rFonts w:hint="eastAsia"/>
          <w:lang w:val="en-US" w:eastAsia="zh-CN"/>
        </w:rPr>
      </w:pPr>
      <w:bookmarkStart w:id="0" w:name="_GoBack"/>
      <w:bookmarkEnd w:id="0"/>
    </w:p>
    <w:p>
      <w:pPr>
        <w:rPr>
          <w:rFonts w:hint="eastAsia"/>
          <w:lang w:val="en-US" w:eastAsia="zh-CN"/>
        </w:rPr>
      </w:pPr>
    </w:p>
    <w:p>
      <w:pPr>
        <w:rPr>
          <w:rFonts w:hint="eastAsia"/>
          <w:lang w:val="en-US" w:eastAsia="zh-CN"/>
        </w:rPr>
      </w:pPr>
    </w:p>
    <w:p>
      <w:pPr>
        <w:rPr>
          <w:rFonts w:hint="eastAsia"/>
          <w:lang w:val="en-US" w:eastAsia="zh-CN"/>
        </w:rPr>
      </w:pPr>
    </w:p>
    <w:p>
      <w:pPr>
        <w:pStyle w:val="3"/>
        <w:bidi w:val="0"/>
        <w:rPr>
          <w:rFonts w:hint="eastAsia"/>
          <w:lang w:val="en-US" w:eastAsia="zh-CN"/>
        </w:rPr>
      </w:pPr>
      <w:r>
        <w:rPr>
          <w:rFonts w:hint="eastAsia"/>
          <w:lang w:val="en-US" w:eastAsia="zh-CN"/>
        </w:rPr>
        <w:t>五、供应商资格声明函模板</w:t>
      </w:r>
    </w:p>
    <w:p>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pPr>
        <w:wordWrap w:val="0"/>
        <w:snapToGrid w:val="0"/>
        <w:spacing w:line="360" w:lineRule="auto"/>
        <w:rPr>
          <w:rFonts w:ascii="宋体" w:hAnsi="宋体" w:eastAsia="宋体" w:cs="Times New Roman"/>
          <w:b/>
          <w:color w:val="000000"/>
          <w:sz w:val="24"/>
          <w:szCs w:val="22"/>
          <w:highlight w:val="none"/>
        </w:rPr>
      </w:pP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pPr>
        <w:wordWrap w:val="0"/>
        <w:snapToGrid w:val="0"/>
        <w:spacing w:line="360" w:lineRule="auto"/>
        <w:rPr>
          <w:rFonts w:hint="eastAsia" w:ascii="宋体" w:hAnsi="宋体" w:eastAsia="宋体" w:cs="Times New Roman"/>
          <w:b/>
          <w:color w:val="000000"/>
          <w:sz w:val="24"/>
          <w:szCs w:val="22"/>
          <w:highlight w:val="none"/>
        </w:rPr>
      </w:pP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pPr>
        <w:numPr>
          <w:ilvl w:val="0"/>
          <w:numId w:val="4"/>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pPr>
        <w:numPr>
          <w:ilvl w:val="0"/>
          <w:numId w:val="4"/>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A699B"/>
    <w:multiLevelType w:val="multilevel"/>
    <w:tmpl w:val="0B8A699B"/>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C44DE9"/>
    <w:multiLevelType w:val="multilevel"/>
    <w:tmpl w:val="35C44DE9"/>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decimalEnclosedCircle"/>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2FA082F"/>
    <w:rsid w:val="03393105"/>
    <w:rsid w:val="038036DD"/>
    <w:rsid w:val="04783FC0"/>
    <w:rsid w:val="04BA456E"/>
    <w:rsid w:val="058F34B0"/>
    <w:rsid w:val="05D03C38"/>
    <w:rsid w:val="06924A62"/>
    <w:rsid w:val="069845E6"/>
    <w:rsid w:val="073E518E"/>
    <w:rsid w:val="07CE5C5B"/>
    <w:rsid w:val="093A1985"/>
    <w:rsid w:val="09772C41"/>
    <w:rsid w:val="0A256191"/>
    <w:rsid w:val="0A8F3F52"/>
    <w:rsid w:val="0C2F1549"/>
    <w:rsid w:val="0C8A2C23"/>
    <w:rsid w:val="10BE4C49"/>
    <w:rsid w:val="111D5E14"/>
    <w:rsid w:val="11DD1A47"/>
    <w:rsid w:val="135950FD"/>
    <w:rsid w:val="149E54BE"/>
    <w:rsid w:val="15117641"/>
    <w:rsid w:val="159643E7"/>
    <w:rsid w:val="15D13671"/>
    <w:rsid w:val="17D950C6"/>
    <w:rsid w:val="18ED2570"/>
    <w:rsid w:val="19021360"/>
    <w:rsid w:val="1BAA681C"/>
    <w:rsid w:val="1BE614F8"/>
    <w:rsid w:val="1C1D316C"/>
    <w:rsid w:val="1C41576A"/>
    <w:rsid w:val="1CAE2016"/>
    <w:rsid w:val="1CDA2E0B"/>
    <w:rsid w:val="1CDF6673"/>
    <w:rsid w:val="1E122A78"/>
    <w:rsid w:val="1E6876C9"/>
    <w:rsid w:val="1EB40642"/>
    <w:rsid w:val="1F0170F2"/>
    <w:rsid w:val="1F843502"/>
    <w:rsid w:val="20084133"/>
    <w:rsid w:val="204360D3"/>
    <w:rsid w:val="21A97250"/>
    <w:rsid w:val="224822F2"/>
    <w:rsid w:val="22602004"/>
    <w:rsid w:val="22C72083"/>
    <w:rsid w:val="22FF7A6F"/>
    <w:rsid w:val="23052BAC"/>
    <w:rsid w:val="23445482"/>
    <w:rsid w:val="261F21FC"/>
    <w:rsid w:val="26760048"/>
    <w:rsid w:val="27135897"/>
    <w:rsid w:val="2778394C"/>
    <w:rsid w:val="27BF3329"/>
    <w:rsid w:val="27C9064C"/>
    <w:rsid w:val="27E70AD2"/>
    <w:rsid w:val="27EC6E16"/>
    <w:rsid w:val="29322C1E"/>
    <w:rsid w:val="294361DC"/>
    <w:rsid w:val="296E14AB"/>
    <w:rsid w:val="29F23E8A"/>
    <w:rsid w:val="2A4E4E38"/>
    <w:rsid w:val="2A6401B8"/>
    <w:rsid w:val="2AAA55F1"/>
    <w:rsid w:val="2AE00186"/>
    <w:rsid w:val="2AEC0046"/>
    <w:rsid w:val="2CA7379B"/>
    <w:rsid w:val="2CA945A8"/>
    <w:rsid w:val="2CE118AF"/>
    <w:rsid w:val="2D0344FB"/>
    <w:rsid w:val="2E13617D"/>
    <w:rsid w:val="2F2D551E"/>
    <w:rsid w:val="2F4F1437"/>
    <w:rsid w:val="2FB614B6"/>
    <w:rsid w:val="30B33C47"/>
    <w:rsid w:val="31AB2B70"/>
    <w:rsid w:val="34343F46"/>
    <w:rsid w:val="34AD54B9"/>
    <w:rsid w:val="34AE4E51"/>
    <w:rsid w:val="34EC597A"/>
    <w:rsid w:val="37403D94"/>
    <w:rsid w:val="379522F8"/>
    <w:rsid w:val="38B41477"/>
    <w:rsid w:val="399B34CA"/>
    <w:rsid w:val="39BF365D"/>
    <w:rsid w:val="3A345F6B"/>
    <w:rsid w:val="3A813F34"/>
    <w:rsid w:val="3B20637D"/>
    <w:rsid w:val="3B253993"/>
    <w:rsid w:val="3BFD046C"/>
    <w:rsid w:val="3EA60249"/>
    <w:rsid w:val="3F2D2E17"/>
    <w:rsid w:val="3FB5526A"/>
    <w:rsid w:val="3FB672B0"/>
    <w:rsid w:val="40295CD4"/>
    <w:rsid w:val="402C3569"/>
    <w:rsid w:val="40C31C84"/>
    <w:rsid w:val="40C477AB"/>
    <w:rsid w:val="422449A5"/>
    <w:rsid w:val="439901E5"/>
    <w:rsid w:val="43F762B1"/>
    <w:rsid w:val="44867251"/>
    <w:rsid w:val="44F55093"/>
    <w:rsid w:val="44FC7513"/>
    <w:rsid w:val="45473E04"/>
    <w:rsid w:val="454A4722"/>
    <w:rsid w:val="45FE550D"/>
    <w:rsid w:val="46C87FF5"/>
    <w:rsid w:val="46E841F3"/>
    <w:rsid w:val="474B29D4"/>
    <w:rsid w:val="479C4FDD"/>
    <w:rsid w:val="47AF2F63"/>
    <w:rsid w:val="47C4203E"/>
    <w:rsid w:val="481E02A5"/>
    <w:rsid w:val="48DA67F8"/>
    <w:rsid w:val="49203AEA"/>
    <w:rsid w:val="49975A5C"/>
    <w:rsid w:val="49CB1BAA"/>
    <w:rsid w:val="4AC33583"/>
    <w:rsid w:val="4AEA6060"/>
    <w:rsid w:val="4CE865CF"/>
    <w:rsid w:val="4CF338F1"/>
    <w:rsid w:val="4D4B54DB"/>
    <w:rsid w:val="4DD52FF7"/>
    <w:rsid w:val="4FA23644"/>
    <w:rsid w:val="4FBE2DC1"/>
    <w:rsid w:val="50A05B3E"/>
    <w:rsid w:val="51A95A08"/>
    <w:rsid w:val="53334A48"/>
    <w:rsid w:val="534D3630"/>
    <w:rsid w:val="53642E53"/>
    <w:rsid w:val="5449029B"/>
    <w:rsid w:val="54606DF1"/>
    <w:rsid w:val="55A27C63"/>
    <w:rsid w:val="55C81AC6"/>
    <w:rsid w:val="57430FD1"/>
    <w:rsid w:val="57EA3B43"/>
    <w:rsid w:val="5895585D"/>
    <w:rsid w:val="5B272337"/>
    <w:rsid w:val="5B6C0C4E"/>
    <w:rsid w:val="5B871DD5"/>
    <w:rsid w:val="5B8C1CA7"/>
    <w:rsid w:val="5B9174FE"/>
    <w:rsid w:val="5BA83AF9"/>
    <w:rsid w:val="5CD32DF8"/>
    <w:rsid w:val="5D79399F"/>
    <w:rsid w:val="5D9D3541"/>
    <w:rsid w:val="5E0272E6"/>
    <w:rsid w:val="5F69359F"/>
    <w:rsid w:val="5FA10F8B"/>
    <w:rsid w:val="62404A8B"/>
    <w:rsid w:val="626C3AD2"/>
    <w:rsid w:val="64095351"/>
    <w:rsid w:val="64632CB3"/>
    <w:rsid w:val="649B16A8"/>
    <w:rsid w:val="65D8147F"/>
    <w:rsid w:val="65FF6A0B"/>
    <w:rsid w:val="670C7632"/>
    <w:rsid w:val="68EC771B"/>
    <w:rsid w:val="690A194F"/>
    <w:rsid w:val="69BC032C"/>
    <w:rsid w:val="6A883473"/>
    <w:rsid w:val="6BA20565"/>
    <w:rsid w:val="6CC032D4"/>
    <w:rsid w:val="6DD62748"/>
    <w:rsid w:val="6F51652A"/>
    <w:rsid w:val="6FA50623"/>
    <w:rsid w:val="6FAF1188"/>
    <w:rsid w:val="710C022E"/>
    <w:rsid w:val="712B2DAA"/>
    <w:rsid w:val="71A768D5"/>
    <w:rsid w:val="72125FFD"/>
    <w:rsid w:val="73221F8B"/>
    <w:rsid w:val="735A7977"/>
    <w:rsid w:val="73B75666"/>
    <w:rsid w:val="746A5998"/>
    <w:rsid w:val="74872D42"/>
    <w:rsid w:val="74DD4329"/>
    <w:rsid w:val="75D4756D"/>
    <w:rsid w:val="760F764A"/>
    <w:rsid w:val="76944F4E"/>
    <w:rsid w:val="775A1CF3"/>
    <w:rsid w:val="798B4E77"/>
    <w:rsid w:val="79E955B1"/>
    <w:rsid w:val="7A8157E9"/>
    <w:rsid w:val="7CB70E95"/>
    <w:rsid w:val="7D316AC5"/>
    <w:rsid w:val="7D3F20B7"/>
    <w:rsid w:val="7D7D4F3F"/>
    <w:rsid w:val="7DC24E6E"/>
    <w:rsid w:val="7E0B3D48"/>
    <w:rsid w:val="7EEA3577"/>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line="380" w:lineRule="exact"/>
    </w:pPr>
    <w:rPr>
      <w:sz w:val="24"/>
    </w:rPr>
  </w:style>
  <w:style w:type="paragraph" w:styleId="5">
    <w:name w:val="Body Text Indent"/>
    <w:basedOn w:val="1"/>
    <w:qFormat/>
    <w:uiPriority w:val="0"/>
    <w:pPr>
      <w:spacing w:line="520" w:lineRule="exact"/>
      <w:ind w:firstLine="640" w:firstLineChars="200"/>
    </w:pPr>
    <w:rPr>
      <w:rFonts w:ascii="仿宋_GB2312" w:eastAsia="仿宋_GB2312"/>
      <w:sz w:val="32"/>
      <w:szCs w:val="32"/>
    </w:rPr>
  </w:style>
  <w:style w:type="paragraph" w:styleId="6">
    <w:name w:val="Plain Text"/>
    <w:basedOn w:val="1"/>
    <w:qFormat/>
    <w:uiPriority w:val="0"/>
    <w:rPr>
      <w:rFonts w:ascii="宋体" w:hAnsi="Courier New" w:cs="Courier New"/>
      <w:szCs w:val="21"/>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character" w:styleId="13">
    <w:name w:val="FollowedHyperlink"/>
    <w:basedOn w:val="11"/>
    <w:unhideWhenUsed/>
    <w:qFormat/>
    <w:uiPriority w:val="99"/>
    <w:rPr>
      <w:color w:val="800080"/>
      <w:u w:val="single"/>
    </w:rPr>
  </w:style>
  <w:style w:type="character" w:styleId="14">
    <w:name w:val="Hyperlink"/>
    <w:basedOn w:val="11"/>
    <w:unhideWhenUsed/>
    <w:qFormat/>
    <w:uiPriority w:val="99"/>
    <w:rPr>
      <w:color w:val="0000FF"/>
      <w:u w:val="single"/>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4">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5">
    <w:name w:val="页眉 Char"/>
    <w:basedOn w:val="11"/>
    <w:link w:val="8"/>
    <w:qFormat/>
    <w:uiPriority w:val="0"/>
    <w:rPr>
      <w:kern w:val="2"/>
      <w:sz w:val="18"/>
      <w:szCs w:val="18"/>
    </w:rPr>
  </w:style>
  <w:style w:type="character" w:customStyle="1" w:styleId="26">
    <w:name w:val="页脚 Char"/>
    <w:basedOn w:val="11"/>
    <w:link w:val="7"/>
    <w:qFormat/>
    <w:uiPriority w:val="0"/>
    <w:rPr>
      <w:kern w:val="2"/>
      <w:sz w:val="18"/>
      <w:szCs w:val="18"/>
    </w:rPr>
  </w:style>
  <w:style w:type="paragraph" w:styleId="2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6616</Words>
  <Characters>6855</Characters>
  <Lines>2</Lines>
  <Paragraphs>3</Paragraphs>
  <TotalTime>0</TotalTime>
  <ScaleCrop>false</ScaleCrop>
  <LinksUpToDate>false</LinksUpToDate>
  <CharactersWithSpaces>7147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2024-12-05T02:17:00Z</cp:lastPrinted>
  <dcterms:modified xsi:type="dcterms:W3CDTF">2025-03-28T03:25:19Z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