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22D28">
      <w:pPr>
        <w:jc w:val="center"/>
        <w:rPr>
          <w:rFonts w:ascii="方正小标宋简体" w:eastAsia="方正小标宋简体"/>
          <w:sz w:val="44"/>
        </w:rPr>
      </w:pPr>
      <w:r>
        <w:rPr>
          <w:rFonts w:hint="eastAsia" w:ascii="方正小标宋简体" w:eastAsia="方正小标宋简体"/>
          <w:sz w:val="44"/>
        </w:rPr>
        <w:t>南方医科大学中西医结合医院电房快速接入口建设项目采购需求书</w:t>
      </w:r>
    </w:p>
    <w:p w14:paraId="676F9679">
      <w:pPr>
        <w:pStyle w:val="20"/>
        <w:numPr>
          <w:ilvl w:val="0"/>
          <w:numId w:val="1"/>
        </w:numPr>
        <w:ind w:firstLineChars="0"/>
        <w:outlineLvl w:val="0"/>
        <w:rPr>
          <w:rFonts w:ascii="黑体" w:hAnsi="黑体" w:eastAsia="黑体"/>
          <w:sz w:val="32"/>
        </w:rPr>
      </w:pPr>
      <w:r>
        <w:rPr>
          <w:rFonts w:ascii="黑体" w:hAnsi="黑体" w:eastAsia="黑体"/>
          <w:sz w:val="32"/>
        </w:rPr>
        <w:t>项目概述</w:t>
      </w:r>
    </w:p>
    <w:p w14:paraId="3E8A8EA1">
      <w:pPr>
        <w:pStyle w:val="20"/>
        <w:numPr>
          <w:ilvl w:val="0"/>
          <w:numId w:val="2"/>
        </w:numPr>
        <w:ind w:firstLineChars="0"/>
        <w:outlineLvl w:val="1"/>
        <w:rPr>
          <w:rFonts w:ascii="楷体" w:hAnsi="楷体" w:eastAsia="楷体"/>
          <w:sz w:val="32"/>
        </w:rPr>
      </w:pPr>
      <w:r>
        <w:rPr>
          <w:rFonts w:ascii="楷体" w:hAnsi="楷体" w:eastAsia="楷体"/>
          <w:sz w:val="32"/>
        </w:rPr>
        <w:t>项目背景</w:t>
      </w:r>
    </w:p>
    <w:p w14:paraId="13EC6D64">
      <w:pPr>
        <w:ind w:firstLine="420" w:firstLineChars="200"/>
      </w:pPr>
      <w:r>
        <w:rPr>
          <w:rFonts w:hint="eastAsia"/>
        </w:rPr>
        <w:t>南方医科大学中西医结合医院（以下简称“采购人”）作为重要电力用户，根据供电部门关于外部应急电源快速接入的相关要求，为提升医院在突发停电情况下的应急供电保障能力，确保外部应急发电车（移动发电车）到达现场后能够快速、安全地接入医院配电系统，现拟在院内</w:t>
      </w:r>
      <w:r>
        <w:t>12号楼、锅炉房电房增设发电车快速接入口。</w:t>
      </w:r>
    </w:p>
    <w:p w14:paraId="04A476E6">
      <w:pPr>
        <w:pStyle w:val="20"/>
        <w:numPr>
          <w:ilvl w:val="0"/>
          <w:numId w:val="3"/>
        </w:numPr>
        <w:ind w:firstLineChars="0"/>
        <w:outlineLvl w:val="1"/>
        <w:rPr>
          <w:rFonts w:ascii="楷体" w:hAnsi="楷体" w:eastAsia="楷体"/>
          <w:sz w:val="32"/>
        </w:rPr>
      </w:pPr>
      <w:r>
        <w:rPr>
          <w:rFonts w:ascii="楷体" w:hAnsi="楷体" w:eastAsia="楷体"/>
          <w:sz w:val="32"/>
        </w:rPr>
        <w:t>项目目标</w:t>
      </w:r>
    </w:p>
    <w:p w14:paraId="2ACB17F9">
      <w:pPr>
        <w:ind w:firstLine="420" w:firstLineChars="200"/>
      </w:pPr>
      <w:r>
        <w:rPr>
          <w:rFonts w:hint="eastAsia"/>
        </w:rPr>
        <w:t>通过本项目的实施，在院内</w:t>
      </w:r>
      <w:r>
        <w:t>12号楼、锅炉房电房室外一层各增设2个发电车快速接入</w:t>
      </w:r>
      <w:r>
        <w:rPr>
          <w:rFonts w:hint="eastAsia"/>
        </w:rPr>
        <w:t>口</w:t>
      </w:r>
      <w:r>
        <w:t>（共计4个），实现以下目标：</w:t>
      </w:r>
    </w:p>
    <w:p w14:paraId="10666136">
      <w:pPr>
        <w:ind w:firstLine="420" w:firstLineChars="200"/>
      </w:pPr>
      <w:r>
        <w:t>1.快速响应：确保应急发电车到场后能够快速、安全接入医院配电系统；</w:t>
      </w:r>
    </w:p>
    <w:p w14:paraId="15BBAC50">
      <w:pPr>
        <w:ind w:firstLine="420" w:firstLineChars="200"/>
      </w:pPr>
      <w:r>
        <w:t>2.安全可靠：快速接入口具备完善的电气安全防护和防误操作功能；</w:t>
      </w:r>
    </w:p>
    <w:p w14:paraId="120C9183">
      <w:pPr>
        <w:ind w:firstLine="420" w:firstLineChars="200"/>
      </w:pPr>
      <w:r>
        <w:t>3.合规达标：项目须符合供电部门及国家相关规范标准，并通过供电部门验收。</w:t>
      </w:r>
    </w:p>
    <w:p w14:paraId="7605AE92">
      <w:pPr>
        <w:pStyle w:val="20"/>
        <w:numPr>
          <w:ilvl w:val="0"/>
          <w:numId w:val="4"/>
        </w:numPr>
        <w:ind w:firstLineChars="0"/>
        <w:outlineLvl w:val="1"/>
        <w:rPr>
          <w:rFonts w:ascii="楷体" w:hAnsi="楷体" w:eastAsia="楷体"/>
          <w:sz w:val="32"/>
        </w:rPr>
      </w:pPr>
      <w:r>
        <w:rPr>
          <w:rFonts w:ascii="楷体" w:hAnsi="楷体" w:eastAsia="楷体"/>
          <w:sz w:val="32"/>
        </w:rPr>
        <w:t>项目范围</w:t>
      </w:r>
    </w:p>
    <w:p w14:paraId="7B279B01">
      <w:pPr>
        <w:ind w:firstLine="420" w:firstLineChars="200"/>
      </w:pPr>
      <w:r>
        <w:rPr>
          <w:rFonts w:hint="eastAsia"/>
        </w:rPr>
        <w:t>本次采购为工程施工类采购，包括但不限于以下内容：</w:t>
      </w:r>
    </w:p>
    <w:p w14:paraId="52C5886D">
      <w:r>
        <w:rPr>
          <w:rFonts w:hint="eastAsia"/>
        </w:rPr>
        <w:t>序号</w:t>
      </w:r>
      <w:r>
        <w:tab/>
      </w:r>
      <w:r>
        <w:t>工作内容</w:t>
      </w:r>
      <w:r>
        <w:tab/>
      </w:r>
      <w:r>
        <w:t>说明</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835"/>
        <w:gridCol w:w="4757"/>
      </w:tblGrid>
      <w:tr w14:paraId="4EF8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EA66360">
            <w:pPr>
              <w:jc w:val="center"/>
            </w:pPr>
            <w:r>
              <w:t>1</w:t>
            </w:r>
          </w:p>
        </w:tc>
        <w:tc>
          <w:tcPr>
            <w:tcW w:w="2835" w:type="dxa"/>
            <w:vAlign w:val="center"/>
          </w:tcPr>
          <w:p w14:paraId="45B58278">
            <w:pPr>
              <w:jc w:val="center"/>
            </w:pPr>
            <w:r>
              <w:t>快速接入口设备采购及安装</w:t>
            </w:r>
          </w:p>
        </w:tc>
        <w:tc>
          <w:tcPr>
            <w:tcW w:w="4757" w:type="dxa"/>
            <w:vAlign w:val="center"/>
          </w:tcPr>
          <w:p w14:paraId="29EF620A">
            <w:pPr>
              <w:jc w:val="center"/>
            </w:pPr>
            <w:r>
              <w:t>4个快速接入口（含快速连接器、开关柜、保护装置等）的采购、安装</w:t>
            </w:r>
          </w:p>
        </w:tc>
      </w:tr>
      <w:tr w14:paraId="352E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70B7172">
            <w:pPr>
              <w:jc w:val="center"/>
            </w:pPr>
            <w:r>
              <w:t>2</w:t>
            </w:r>
          </w:p>
        </w:tc>
        <w:tc>
          <w:tcPr>
            <w:tcW w:w="2835" w:type="dxa"/>
            <w:vAlign w:val="center"/>
          </w:tcPr>
          <w:p w14:paraId="038FD3DB">
            <w:pPr>
              <w:jc w:val="center"/>
            </w:pPr>
            <w:r>
              <w:t>电缆敷设及连接</w:t>
            </w:r>
          </w:p>
        </w:tc>
        <w:tc>
          <w:tcPr>
            <w:tcW w:w="4757" w:type="dxa"/>
            <w:vAlign w:val="center"/>
          </w:tcPr>
          <w:p w14:paraId="5D8447AE">
            <w:pPr>
              <w:jc w:val="center"/>
            </w:pPr>
            <w:r>
              <w:t>从快速接入口至电房低压母线的电力电缆敷设、接线</w:t>
            </w:r>
          </w:p>
        </w:tc>
      </w:tr>
      <w:tr w14:paraId="7ED1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B95E39">
            <w:pPr>
              <w:jc w:val="center"/>
            </w:pPr>
            <w:r>
              <w:t>3</w:t>
            </w:r>
          </w:p>
        </w:tc>
        <w:tc>
          <w:tcPr>
            <w:tcW w:w="2835" w:type="dxa"/>
            <w:vAlign w:val="center"/>
          </w:tcPr>
          <w:p w14:paraId="6AC946F6">
            <w:pPr>
              <w:jc w:val="center"/>
            </w:pPr>
            <w:r>
              <w:t>土建基础施工</w:t>
            </w:r>
          </w:p>
        </w:tc>
        <w:tc>
          <w:tcPr>
            <w:tcW w:w="4757" w:type="dxa"/>
            <w:vAlign w:val="center"/>
          </w:tcPr>
          <w:p w14:paraId="62BCC3C1">
            <w:pPr>
              <w:jc w:val="center"/>
            </w:pPr>
            <w:r>
              <w:t>快速接入口室外基础、电缆沟/管廊、接地装置</w:t>
            </w:r>
            <w:r>
              <w:rPr>
                <w:rFonts w:hint="eastAsia"/>
              </w:rPr>
              <w:t>、电缆桥架</w:t>
            </w:r>
            <w:r>
              <w:t>等土建施工</w:t>
            </w:r>
          </w:p>
        </w:tc>
      </w:tr>
      <w:tr w14:paraId="462F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0B062F3">
            <w:pPr>
              <w:jc w:val="center"/>
            </w:pPr>
            <w:r>
              <w:t>4</w:t>
            </w:r>
          </w:p>
        </w:tc>
        <w:tc>
          <w:tcPr>
            <w:tcW w:w="2835" w:type="dxa"/>
            <w:vAlign w:val="center"/>
          </w:tcPr>
          <w:p w14:paraId="75A7612D">
            <w:pPr>
              <w:jc w:val="center"/>
            </w:pPr>
            <w:r>
              <w:t>联锁保护系统安装</w:t>
            </w:r>
          </w:p>
        </w:tc>
        <w:tc>
          <w:tcPr>
            <w:tcW w:w="4757" w:type="dxa"/>
            <w:vAlign w:val="center"/>
          </w:tcPr>
          <w:p w14:paraId="30691A5B">
            <w:pPr>
              <w:jc w:val="center"/>
            </w:pPr>
            <w:r>
              <w:t>防误操作联锁装置、警示标识等的安装调试</w:t>
            </w:r>
          </w:p>
        </w:tc>
      </w:tr>
      <w:tr w14:paraId="42B3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2687E5">
            <w:pPr>
              <w:jc w:val="center"/>
            </w:pPr>
            <w:r>
              <w:t>5</w:t>
            </w:r>
          </w:p>
        </w:tc>
        <w:tc>
          <w:tcPr>
            <w:tcW w:w="2835" w:type="dxa"/>
            <w:vAlign w:val="center"/>
          </w:tcPr>
          <w:p w14:paraId="51B8CAF9">
            <w:pPr>
              <w:jc w:val="center"/>
            </w:pPr>
            <w:r>
              <w:t>系统调试及验收</w:t>
            </w:r>
          </w:p>
        </w:tc>
        <w:tc>
          <w:tcPr>
            <w:tcW w:w="4757" w:type="dxa"/>
            <w:vAlign w:val="center"/>
          </w:tcPr>
          <w:p w14:paraId="64FEAF0F">
            <w:pPr>
              <w:jc w:val="center"/>
            </w:pPr>
            <w:r>
              <w:t>整体调试、试验、验收及送电</w:t>
            </w:r>
          </w:p>
        </w:tc>
      </w:tr>
    </w:tbl>
    <w:p w14:paraId="0F3BCA9B">
      <w:pPr>
        <w:pStyle w:val="20"/>
        <w:numPr>
          <w:ilvl w:val="0"/>
          <w:numId w:val="5"/>
        </w:numPr>
        <w:ind w:firstLineChars="0"/>
        <w:outlineLvl w:val="0"/>
        <w:rPr>
          <w:rFonts w:ascii="黑体" w:hAnsi="黑体" w:eastAsia="黑体"/>
          <w:sz w:val="32"/>
        </w:rPr>
      </w:pPr>
      <w:r>
        <w:rPr>
          <w:rFonts w:ascii="黑体" w:hAnsi="黑体" w:eastAsia="黑体"/>
          <w:sz w:val="32"/>
        </w:rPr>
        <w:t>工程技术要求</w:t>
      </w:r>
    </w:p>
    <w:p w14:paraId="15BB4B18">
      <w:pPr>
        <w:pStyle w:val="20"/>
        <w:numPr>
          <w:ilvl w:val="0"/>
          <w:numId w:val="6"/>
        </w:numPr>
        <w:ind w:firstLineChars="0"/>
        <w:outlineLvl w:val="1"/>
        <w:rPr>
          <w:rFonts w:ascii="楷体" w:hAnsi="楷体" w:eastAsia="楷体"/>
          <w:sz w:val="32"/>
        </w:rPr>
      </w:pPr>
      <w:r>
        <w:rPr>
          <w:rFonts w:ascii="楷体" w:hAnsi="楷体" w:eastAsia="楷体"/>
          <w:sz w:val="32"/>
        </w:rPr>
        <w:t>总体要求</w:t>
      </w:r>
    </w:p>
    <w:p w14:paraId="13763CC5">
      <w:pPr>
        <w:ind w:firstLine="420" w:firstLineChars="200"/>
      </w:pPr>
      <w:r>
        <w:t>1.施工质量：工程质量须符合国家及行业现行施工质量验收规范，达到合格标准。</w:t>
      </w:r>
    </w:p>
    <w:p w14:paraId="6155D90B">
      <w:pPr>
        <w:ind w:firstLine="420" w:firstLineChars="200"/>
      </w:pPr>
      <w:r>
        <w:t>2.安全施工：施工期间须确保医院正常供电不受影响，严格遵守电力安全工作规程。</w:t>
      </w:r>
    </w:p>
    <w:p w14:paraId="239003DF">
      <w:pPr>
        <w:ind w:firstLine="420" w:firstLineChars="200"/>
      </w:pPr>
      <w:r>
        <w:t>3.文明施工：做好施工围蔽、降尘降噪，最大限度减少对医院正常运营的影响。</w:t>
      </w:r>
    </w:p>
    <w:p w14:paraId="4A0A360B">
      <w:pPr>
        <w:ind w:firstLine="420" w:firstLineChars="200"/>
      </w:pPr>
      <w:r>
        <w:t>4.规范施工：严格按图施工，未经采购人书面同意不得擅自变更设计方案。</w:t>
      </w:r>
    </w:p>
    <w:p w14:paraId="00D07851">
      <w:pPr>
        <w:ind w:firstLine="420" w:firstLineChars="200"/>
      </w:pPr>
    </w:p>
    <w:p w14:paraId="658C4E5C">
      <w:pPr>
        <w:ind w:firstLine="420" w:firstLineChars="200"/>
        <w:rPr>
          <w:rFonts w:hint="eastAsia"/>
        </w:rPr>
      </w:pPr>
    </w:p>
    <w:p w14:paraId="35A32DF3">
      <w:pPr>
        <w:pStyle w:val="20"/>
        <w:numPr>
          <w:ilvl w:val="0"/>
          <w:numId w:val="7"/>
        </w:numPr>
        <w:ind w:firstLineChars="0"/>
        <w:outlineLvl w:val="1"/>
        <w:rPr>
          <w:rFonts w:ascii="楷体" w:hAnsi="楷体" w:eastAsia="楷体"/>
          <w:sz w:val="32"/>
        </w:rPr>
      </w:pPr>
      <w:r>
        <w:rPr>
          <w:rFonts w:ascii="楷体" w:hAnsi="楷体" w:eastAsia="楷体"/>
          <w:sz w:val="32"/>
        </w:rPr>
        <w:t>工程内容及规模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1FB8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FAC9DEC">
            <w:pPr>
              <w:jc w:val="center"/>
            </w:pPr>
            <w:r>
              <w:rPr>
                <w:rFonts w:hint="eastAsia"/>
              </w:rPr>
              <w:t>序号</w:t>
            </w:r>
          </w:p>
        </w:tc>
        <w:tc>
          <w:tcPr>
            <w:tcW w:w="2074" w:type="dxa"/>
            <w:vAlign w:val="center"/>
          </w:tcPr>
          <w:p w14:paraId="54954257">
            <w:pPr>
              <w:jc w:val="center"/>
            </w:pPr>
            <w:r>
              <w:t>安装位置</w:t>
            </w:r>
          </w:p>
        </w:tc>
        <w:tc>
          <w:tcPr>
            <w:tcW w:w="2074" w:type="dxa"/>
            <w:vAlign w:val="center"/>
          </w:tcPr>
          <w:p w14:paraId="3A8CBE0B">
            <w:pPr>
              <w:jc w:val="center"/>
            </w:pPr>
            <w:r>
              <w:t>快速接入口数量</w:t>
            </w:r>
          </w:p>
        </w:tc>
        <w:tc>
          <w:tcPr>
            <w:tcW w:w="2074" w:type="dxa"/>
            <w:vAlign w:val="center"/>
          </w:tcPr>
          <w:p w14:paraId="484E1699">
            <w:pPr>
              <w:jc w:val="center"/>
            </w:pPr>
            <w:r>
              <w:t>备注</w:t>
            </w:r>
          </w:p>
        </w:tc>
      </w:tr>
      <w:tr w14:paraId="0C5B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446E31BC">
            <w:pPr>
              <w:jc w:val="center"/>
            </w:pPr>
            <w:r>
              <w:t>1</w:t>
            </w:r>
          </w:p>
        </w:tc>
        <w:tc>
          <w:tcPr>
            <w:tcW w:w="2074" w:type="dxa"/>
            <w:vAlign w:val="center"/>
          </w:tcPr>
          <w:p w14:paraId="31BD053C">
            <w:pPr>
              <w:jc w:val="center"/>
            </w:pPr>
            <w:r>
              <w:t>12号楼电房室外一层</w:t>
            </w:r>
          </w:p>
        </w:tc>
        <w:tc>
          <w:tcPr>
            <w:tcW w:w="2074" w:type="dxa"/>
            <w:vAlign w:val="center"/>
          </w:tcPr>
          <w:p w14:paraId="71AC2064">
            <w:pPr>
              <w:jc w:val="center"/>
            </w:pPr>
            <w:r>
              <w:t>2个</w:t>
            </w:r>
          </w:p>
        </w:tc>
        <w:tc>
          <w:tcPr>
            <w:tcW w:w="2074" w:type="dxa"/>
            <w:vAlign w:val="center"/>
          </w:tcPr>
          <w:p w14:paraId="1E10ACBF">
            <w:pPr>
              <w:jc w:val="center"/>
            </w:pPr>
            <w:r>
              <w:rPr>
                <w:rFonts w:hint="eastAsia"/>
              </w:rPr>
              <w:t>外墙</w:t>
            </w:r>
            <w:r>
              <w:t>安装</w:t>
            </w:r>
          </w:p>
        </w:tc>
      </w:tr>
      <w:tr w14:paraId="1941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237DEA69">
            <w:pPr>
              <w:jc w:val="center"/>
            </w:pPr>
            <w:r>
              <w:t>2</w:t>
            </w:r>
          </w:p>
        </w:tc>
        <w:tc>
          <w:tcPr>
            <w:tcW w:w="2074" w:type="dxa"/>
            <w:vAlign w:val="center"/>
          </w:tcPr>
          <w:p w14:paraId="69CAB6B4">
            <w:pPr>
              <w:jc w:val="center"/>
            </w:pPr>
            <w:r>
              <w:t>锅炉房电房室外一层</w:t>
            </w:r>
          </w:p>
        </w:tc>
        <w:tc>
          <w:tcPr>
            <w:tcW w:w="2074" w:type="dxa"/>
            <w:vAlign w:val="center"/>
          </w:tcPr>
          <w:p w14:paraId="6F8D41E6">
            <w:pPr>
              <w:jc w:val="center"/>
            </w:pPr>
            <w:r>
              <w:t>2个</w:t>
            </w:r>
          </w:p>
        </w:tc>
        <w:tc>
          <w:tcPr>
            <w:tcW w:w="2074" w:type="dxa"/>
            <w:vAlign w:val="center"/>
          </w:tcPr>
          <w:p w14:paraId="77F1F9D9">
            <w:pPr>
              <w:jc w:val="center"/>
            </w:pPr>
            <w:r>
              <w:rPr>
                <w:rFonts w:hint="eastAsia"/>
              </w:rPr>
              <w:t>外墙</w:t>
            </w:r>
            <w:r>
              <w:t>安装</w:t>
            </w:r>
          </w:p>
        </w:tc>
      </w:tr>
      <w:tr w14:paraId="3901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090BB098">
            <w:pPr>
              <w:jc w:val="center"/>
            </w:pPr>
            <w:r>
              <w:rPr>
                <w:rFonts w:hint="eastAsia"/>
              </w:rPr>
              <w:t>合计</w:t>
            </w:r>
          </w:p>
        </w:tc>
        <w:tc>
          <w:tcPr>
            <w:tcW w:w="2074" w:type="dxa"/>
            <w:vAlign w:val="center"/>
          </w:tcPr>
          <w:p w14:paraId="0D01DF6D">
            <w:pPr>
              <w:jc w:val="center"/>
            </w:pPr>
          </w:p>
        </w:tc>
        <w:tc>
          <w:tcPr>
            <w:tcW w:w="2074" w:type="dxa"/>
            <w:vAlign w:val="center"/>
          </w:tcPr>
          <w:p w14:paraId="7E6BC659">
            <w:pPr>
              <w:jc w:val="center"/>
            </w:pPr>
            <w:r>
              <w:t>4个</w:t>
            </w:r>
          </w:p>
        </w:tc>
        <w:tc>
          <w:tcPr>
            <w:tcW w:w="2074" w:type="dxa"/>
            <w:vAlign w:val="center"/>
          </w:tcPr>
          <w:p w14:paraId="18A4A89B">
            <w:pPr>
              <w:jc w:val="center"/>
            </w:pPr>
          </w:p>
        </w:tc>
      </w:tr>
    </w:tbl>
    <w:p w14:paraId="5D3EB57E">
      <w:pPr>
        <w:pStyle w:val="20"/>
        <w:numPr>
          <w:ilvl w:val="0"/>
          <w:numId w:val="8"/>
        </w:numPr>
        <w:ind w:firstLineChars="0"/>
        <w:outlineLvl w:val="1"/>
        <w:rPr>
          <w:rFonts w:ascii="楷体" w:hAnsi="楷体" w:eastAsia="楷体"/>
          <w:sz w:val="32"/>
        </w:rPr>
      </w:pPr>
      <w:r>
        <w:rPr>
          <w:rFonts w:ascii="楷体" w:hAnsi="楷体" w:eastAsia="楷体"/>
          <w:sz w:val="32"/>
        </w:rPr>
        <w:t>主要技术及施工要求</w:t>
      </w:r>
    </w:p>
    <w:p w14:paraId="5616B678">
      <w:pPr>
        <w:pStyle w:val="20"/>
        <w:numPr>
          <w:ilvl w:val="0"/>
          <w:numId w:val="9"/>
        </w:numPr>
        <w:ind w:firstLineChars="0"/>
        <w:outlineLvl w:val="2"/>
        <w:rPr>
          <w:rFonts w:ascii="仿宋" w:hAnsi="仿宋" w:eastAsia="仿宋"/>
          <w:sz w:val="32"/>
        </w:rPr>
      </w:pPr>
      <w:r>
        <w:rPr>
          <w:rFonts w:ascii="仿宋" w:hAnsi="仿宋" w:eastAsia="仿宋"/>
          <w:sz w:val="32"/>
        </w:rPr>
        <w:t>设备要求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5891"/>
      </w:tblGrid>
      <w:tr w14:paraId="2392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5C69EE4">
            <w:pPr>
              <w:jc w:val="center"/>
            </w:pPr>
            <w:r>
              <w:rPr>
                <w:rFonts w:hint="eastAsia"/>
              </w:rPr>
              <w:t>序号</w:t>
            </w:r>
          </w:p>
        </w:tc>
        <w:tc>
          <w:tcPr>
            <w:tcW w:w="1559" w:type="dxa"/>
            <w:vAlign w:val="center"/>
          </w:tcPr>
          <w:p w14:paraId="21C7C2AF">
            <w:pPr>
              <w:jc w:val="center"/>
            </w:pPr>
            <w:r>
              <w:t>项目</w:t>
            </w:r>
          </w:p>
        </w:tc>
        <w:tc>
          <w:tcPr>
            <w:tcW w:w="5891" w:type="dxa"/>
            <w:vAlign w:val="center"/>
          </w:tcPr>
          <w:p w14:paraId="31FF7BF7">
            <w:pPr>
              <w:jc w:val="center"/>
            </w:pPr>
            <w:r>
              <w:t>技术要求</w:t>
            </w:r>
          </w:p>
        </w:tc>
      </w:tr>
      <w:tr w14:paraId="4642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662403">
            <w:pPr>
              <w:jc w:val="center"/>
            </w:pPr>
            <w:r>
              <w:t>1</w:t>
            </w:r>
          </w:p>
        </w:tc>
        <w:tc>
          <w:tcPr>
            <w:tcW w:w="1559" w:type="dxa"/>
            <w:vAlign w:val="center"/>
          </w:tcPr>
          <w:p w14:paraId="3914A574">
            <w:pPr>
              <w:jc w:val="center"/>
            </w:pPr>
            <w:r>
              <w:t>快速连接器</w:t>
            </w:r>
          </w:p>
        </w:tc>
        <w:tc>
          <w:tcPr>
            <w:tcW w:w="5891" w:type="dxa"/>
            <w:vAlign w:val="center"/>
          </w:tcPr>
          <w:p w14:paraId="1B41103D">
            <w:pPr>
              <w:jc w:val="center"/>
            </w:pPr>
            <w:r>
              <w:t>采用符合供电部门标准的定型产品，防护等级不低于IP54，具备防误插功能</w:t>
            </w:r>
          </w:p>
        </w:tc>
      </w:tr>
      <w:tr w14:paraId="59EB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3DA18F9">
            <w:pPr>
              <w:jc w:val="center"/>
            </w:pPr>
            <w:r>
              <w:t>2</w:t>
            </w:r>
          </w:p>
        </w:tc>
        <w:tc>
          <w:tcPr>
            <w:tcW w:w="1559" w:type="dxa"/>
            <w:vAlign w:val="center"/>
          </w:tcPr>
          <w:p w14:paraId="247C462C">
            <w:pPr>
              <w:jc w:val="center"/>
            </w:pPr>
            <w:r>
              <w:t>快速接入开关柜</w:t>
            </w:r>
          </w:p>
        </w:tc>
        <w:tc>
          <w:tcPr>
            <w:tcW w:w="5891" w:type="dxa"/>
            <w:vAlign w:val="center"/>
          </w:tcPr>
          <w:p w14:paraId="39502FDB">
            <w:pPr>
              <w:jc w:val="center"/>
            </w:pPr>
            <w:r>
              <w:t>含进线开关、保护装置、计量装置（如需），开关额定电流应满足容量要求</w:t>
            </w:r>
          </w:p>
        </w:tc>
      </w:tr>
      <w:tr w14:paraId="3CF5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F3A159A">
            <w:pPr>
              <w:jc w:val="center"/>
            </w:pPr>
            <w:r>
              <w:t>3</w:t>
            </w:r>
          </w:p>
        </w:tc>
        <w:tc>
          <w:tcPr>
            <w:tcW w:w="1559" w:type="dxa"/>
            <w:vAlign w:val="center"/>
          </w:tcPr>
          <w:p w14:paraId="6945E6AB">
            <w:pPr>
              <w:jc w:val="center"/>
            </w:pPr>
            <w:r>
              <w:t>联锁装置</w:t>
            </w:r>
          </w:p>
        </w:tc>
        <w:tc>
          <w:tcPr>
            <w:tcW w:w="5891" w:type="dxa"/>
            <w:vAlign w:val="center"/>
          </w:tcPr>
          <w:p w14:paraId="3D991DDB">
            <w:pPr>
              <w:jc w:val="center"/>
            </w:pPr>
            <w:r>
              <w:t>具备机械/电气联锁功能，防止与市电并列运行及反送电</w:t>
            </w:r>
          </w:p>
        </w:tc>
      </w:tr>
      <w:tr w14:paraId="0AB9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C8EBB37">
            <w:pPr>
              <w:jc w:val="center"/>
            </w:pPr>
            <w:r>
              <w:t>4</w:t>
            </w:r>
          </w:p>
        </w:tc>
        <w:tc>
          <w:tcPr>
            <w:tcW w:w="1559" w:type="dxa"/>
            <w:vAlign w:val="center"/>
          </w:tcPr>
          <w:p w14:paraId="09163E75">
            <w:pPr>
              <w:jc w:val="center"/>
            </w:pPr>
            <w:r>
              <w:t>箱体/外壳</w:t>
            </w:r>
          </w:p>
        </w:tc>
        <w:tc>
          <w:tcPr>
            <w:tcW w:w="5891" w:type="dxa"/>
            <w:vAlign w:val="center"/>
          </w:tcPr>
          <w:p w14:paraId="6BCD3099">
            <w:pPr>
              <w:jc w:val="center"/>
            </w:pPr>
            <w:r>
              <w:t>室外落地安装，材质为不锈钢或优质冷轧钢板，具备防雨、防腐、防小动物进入功能</w:t>
            </w:r>
          </w:p>
        </w:tc>
      </w:tr>
      <w:tr w14:paraId="100E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61308E">
            <w:pPr>
              <w:jc w:val="center"/>
            </w:pPr>
            <w:r>
              <w:t>5</w:t>
            </w:r>
          </w:p>
        </w:tc>
        <w:tc>
          <w:tcPr>
            <w:tcW w:w="1559" w:type="dxa"/>
            <w:vAlign w:val="center"/>
          </w:tcPr>
          <w:p w14:paraId="7EB50911">
            <w:pPr>
              <w:jc w:val="center"/>
            </w:pPr>
            <w:r>
              <w:t>电力电缆</w:t>
            </w:r>
          </w:p>
        </w:tc>
        <w:tc>
          <w:tcPr>
            <w:tcW w:w="5891" w:type="dxa"/>
            <w:vAlign w:val="center"/>
          </w:tcPr>
          <w:p w14:paraId="38039389">
            <w:pPr>
              <w:jc w:val="center"/>
            </w:pPr>
            <w:r>
              <w:t>采用阻燃型铜芯电力电缆，规格满足载流量及热稳定要求，符合GB/T 12706标准</w:t>
            </w:r>
          </w:p>
        </w:tc>
      </w:tr>
    </w:tbl>
    <w:p w14:paraId="048EBFAA">
      <w:pPr>
        <w:pStyle w:val="20"/>
        <w:numPr>
          <w:ilvl w:val="0"/>
          <w:numId w:val="10"/>
        </w:numPr>
        <w:ind w:firstLineChars="0"/>
        <w:outlineLvl w:val="2"/>
        <w:rPr>
          <w:rFonts w:ascii="仿宋" w:hAnsi="仿宋" w:eastAsia="仿宋"/>
          <w:sz w:val="32"/>
        </w:rPr>
      </w:pPr>
      <w:r>
        <w:rPr>
          <w:rFonts w:ascii="仿宋" w:hAnsi="仿宋" w:eastAsia="仿宋"/>
          <w:sz w:val="32"/>
        </w:rPr>
        <w:t>土建施工要求</w:t>
      </w:r>
    </w:p>
    <w:p w14:paraId="3EBEEF19">
      <w:pPr>
        <w:ind w:firstLine="420" w:firstLineChars="200"/>
      </w:pPr>
      <w:r>
        <w:rPr>
          <w:rFonts w:hint="eastAsia"/>
        </w:rPr>
        <w:t>（1）</w:t>
      </w:r>
      <w:r>
        <w:t>基础施工：按设计图纸进行设备基础施工，基础应平整、坚固，高出室外地坪不小于200mm；</w:t>
      </w:r>
    </w:p>
    <w:p w14:paraId="67D3D367">
      <w:pPr>
        <w:ind w:firstLine="420" w:firstLineChars="200"/>
      </w:pPr>
      <w:r>
        <w:rPr>
          <w:rFonts w:hint="eastAsia"/>
        </w:rPr>
        <w:t>（2）</w:t>
      </w:r>
      <w:r>
        <w:t>电缆通道：电缆进出线须穿管保护或设置电缆沟，管口应封堵严密，防止进水及小动物进入；</w:t>
      </w:r>
    </w:p>
    <w:p w14:paraId="3AD96A03">
      <w:pPr>
        <w:ind w:firstLine="420" w:firstLineChars="200"/>
      </w:pPr>
      <w:r>
        <w:rPr>
          <w:rFonts w:hint="eastAsia"/>
        </w:rPr>
        <w:t>（3）</w:t>
      </w:r>
      <w:r>
        <w:t>接地系统：设置独立的接地装置，接地电阻不大于4Ω（如设计另有要求以设计为准），确保设备可靠接地；</w:t>
      </w:r>
    </w:p>
    <w:p w14:paraId="565CC18C">
      <w:pPr>
        <w:ind w:firstLine="420" w:firstLineChars="200"/>
      </w:pPr>
      <w:r>
        <w:rPr>
          <w:rFonts w:hint="eastAsia"/>
        </w:rPr>
        <w:t>（4）</w:t>
      </w:r>
      <w:r>
        <w:t>恢复原貌：施工开挖破坏的路面、绿化等须按原标准恢复。</w:t>
      </w:r>
    </w:p>
    <w:p w14:paraId="778A5763">
      <w:pPr>
        <w:pStyle w:val="20"/>
        <w:numPr>
          <w:ilvl w:val="0"/>
          <w:numId w:val="11"/>
        </w:numPr>
        <w:ind w:firstLineChars="0"/>
        <w:outlineLvl w:val="2"/>
        <w:rPr>
          <w:rFonts w:ascii="仿宋" w:hAnsi="仿宋" w:eastAsia="仿宋"/>
          <w:sz w:val="32"/>
        </w:rPr>
      </w:pPr>
      <w:r>
        <w:rPr>
          <w:rFonts w:ascii="仿宋" w:hAnsi="仿宋" w:eastAsia="仿宋"/>
          <w:sz w:val="32"/>
        </w:rPr>
        <w:t>安装施工要求</w:t>
      </w:r>
    </w:p>
    <w:p w14:paraId="65F7E89F">
      <w:pPr>
        <w:ind w:firstLine="420" w:firstLineChars="200"/>
      </w:pPr>
      <w:r>
        <w:rPr>
          <w:rFonts w:hint="eastAsia"/>
        </w:rPr>
        <w:t>（1）</w:t>
      </w:r>
      <w:r>
        <w:t>设备安装：快速接入口设备安装应牢固、端正，标识清晰；</w:t>
      </w:r>
    </w:p>
    <w:p w14:paraId="38108A34">
      <w:pPr>
        <w:ind w:firstLine="420" w:firstLineChars="200"/>
      </w:pPr>
      <w:r>
        <w:rPr>
          <w:rFonts w:hint="eastAsia"/>
        </w:rPr>
        <w:t>（2）</w:t>
      </w:r>
      <w:r>
        <w:t>电缆敷设：电缆敷设应排列整齐，固定可靠，弯曲半径符合规范要求，电缆终端头制作须符合工艺标准；</w:t>
      </w:r>
    </w:p>
    <w:p w14:paraId="124DC4A5">
      <w:pPr>
        <w:ind w:firstLine="420" w:firstLineChars="200"/>
      </w:pPr>
      <w:r>
        <w:rPr>
          <w:rFonts w:hint="eastAsia"/>
        </w:rPr>
        <w:t>（3）</w:t>
      </w:r>
      <w:r>
        <w:t>接线要求：相位正确，连接紧密，导线色标符合规范；</w:t>
      </w:r>
    </w:p>
    <w:p w14:paraId="76CF6E90">
      <w:pPr>
        <w:ind w:firstLine="420" w:firstLineChars="200"/>
      </w:pPr>
      <w:r>
        <w:rPr>
          <w:rFonts w:hint="eastAsia"/>
        </w:rPr>
        <w:t>（4）</w:t>
      </w:r>
      <w:r>
        <w:t>标识标牌：快速接入口须设置“应急电源接入点”警示标识、操作说明牌和安全警示牌。</w:t>
      </w:r>
    </w:p>
    <w:p w14:paraId="07E5BA63">
      <w:pPr>
        <w:ind w:firstLine="420" w:firstLineChars="200"/>
      </w:pPr>
    </w:p>
    <w:p w14:paraId="6CC05120">
      <w:pPr>
        <w:ind w:firstLine="420" w:firstLineChars="200"/>
      </w:pPr>
    </w:p>
    <w:p w14:paraId="10AE9B3D">
      <w:pPr>
        <w:ind w:firstLine="420" w:firstLineChars="200"/>
      </w:pPr>
    </w:p>
    <w:p w14:paraId="1779FE6D">
      <w:pPr>
        <w:ind w:firstLine="420" w:firstLineChars="200"/>
      </w:pPr>
    </w:p>
    <w:p w14:paraId="6DE680E9">
      <w:pPr>
        <w:ind w:firstLine="420" w:firstLineChars="200"/>
      </w:pPr>
    </w:p>
    <w:p w14:paraId="4255A2F5">
      <w:pPr>
        <w:ind w:firstLine="420" w:firstLineChars="200"/>
        <w:rPr>
          <w:rFonts w:hint="eastAsia"/>
        </w:rPr>
      </w:pPr>
    </w:p>
    <w:p w14:paraId="692C441A">
      <w:pPr>
        <w:pStyle w:val="20"/>
        <w:numPr>
          <w:ilvl w:val="0"/>
          <w:numId w:val="12"/>
        </w:numPr>
        <w:ind w:firstLineChars="0"/>
        <w:outlineLvl w:val="2"/>
        <w:rPr>
          <w:rFonts w:ascii="仿宋" w:hAnsi="仿宋" w:eastAsia="仿宋"/>
          <w:sz w:val="32"/>
        </w:rPr>
      </w:pPr>
      <w:r>
        <w:rPr>
          <w:rFonts w:ascii="仿宋" w:hAnsi="仿宋" w:eastAsia="仿宋"/>
          <w:sz w:val="32"/>
        </w:rPr>
        <w:t>施工规范依据</w:t>
      </w:r>
    </w:p>
    <w:p w14:paraId="35C1CF31">
      <w:r>
        <w:rPr>
          <w:rFonts w:hint="eastAsia"/>
        </w:rPr>
        <w:t>施工须遵循但不限于以下规范标准：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402"/>
        <w:gridCol w:w="3906"/>
      </w:tblGrid>
      <w:tr w14:paraId="7672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06A6DF6">
            <w:r>
              <w:rPr>
                <w:rFonts w:hint="eastAsia"/>
              </w:rPr>
              <w:t>序号</w:t>
            </w:r>
          </w:p>
        </w:tc>
        <w:tc>
          <w:tcPr>
            <w:tcW w:w="3402" w:type="dxa"/>
          </w:tcPr>
          <w:p w14:paraId="5246E086">
            <w:r>
              <w:t>标准编号</w:t>
            </w:r>
          </w:p>
        </w:tc>
        <w:tc>
          <w:tcPr>
            <w:tcW w:w="3906" w:type="dxa"/>
          </w:tcPr>
          <w:p w14:paraId="5173E898">
            <w:r>
              <w:t>标准名称</w:t>
            </w:r>
          </w:p>
        </w:tc>
      </w:tr>
      <w:tr w14:paraId="04AC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D815E89">
            <w:r>
              <w:t>1</w:t>
            </w:r>
          </w:p>
        </w:tc>
        <w:tc>
          <w:tcPr>
            <w:tcW w:w="3402" w:type="dxa"/>
          </w:tcPr>
          <w:p w14:paraId="3BE22F33">
            <w:r>
              <w:t>GB50303-2015</w:t>
            </w:r>
          </w:p>
        </w:tc>
        <w:tc>
          <w:tcPr>
            <w:tcW w:w="3906" w:type="dxa"/>
          </w:tcPr>
          <w:p w14:paraId="47BB2081">
            <w:r>
              <w:t>《建筑电气工程施工质量验收规范》</w:t>
            </w:r>
          </w:p>
        </w:tc>
      </w:tr>
      <w:tr w14:paraId="596C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BB50B6A">
            <w:r>
              <w:t>2</w:t>
            </w:r>
          </w:p>
        </w:tc>
        <w:tc>
          <w:tcPr>
            <w:tcW w:w="3402" w:type="dxa"/>
          </w:tcPr>
          <w:p w14:paraId="5DC5DB4D">
            <w:r>
              <w:t>GB50150-2016</w:t>
            </w:r>
          </w:p>
        </w:tc>
        <w:tc>
          <w:tcPr>
            <w:tcW w:w="3906" w:type="dxa"/>
          </w:tcPr>
          <w:p w14:paraId="31079F33">
            <w:r>
              <w:t>《电气装置安装工程 电气设备交接试验标准》</w:t>
            </w:r>
          </w:p>
        </w:tc>
      </w:tr>
      <w:tr w14:paraId="3F7F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7EEEC45F">
            <w:r>
              <w:t>3</w:t>
            </w:r>
          </w:p>
        </w:tc>
        <w:tc>
          <w:tcPr>
            <w:tcW w:w="3402" w:type="dxa"/>
          </w:tcPr>
          <w:p w14:paraId="0AA49D1C">
            <w:r>
              <w:t>GB50168-2018</w:t>
            </w:r>
          </w:p>
        </w:tc>
        <w:tc>
          <w:tcPr>
            <w:tcW w:w="3906" w:type="dxa"/>
          </w:tcPr>
          <w:p w14:paraId="179EE27F">
            <w:r>
              <w:t>《电气装置安装工程 电缆线路施工及验收标准》</w:t>
            </w:r>
          </w:p>
        </w:tc>
      </w:tr>
      <w:tr w14:paraId="7AE3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655CB99">
            <w:r>
              <w:t>4</w:t>
            </w:r>
          </w:p>
        </w:tc>
        <w:tc>
          <w:tcPr>
            <w:tcW w:w="3402" w:type="dxa"/>
          </w:tcPr>
          <w:p w14:paraId="7241B527">
            <w:r>
              <w:t>GB50169-2016</w:t>
            </w:r>
          </w:p>
        </w:tc>
        <w:tc>
          <w:tcPr>
            <w:tcW w:w="3906" w:type="dxa"/>
          </w:tcPr>
          <w:p w14:paraId="7AF02E9B">
            <w:r>
              <w:t>《电气装置安装工程 接地装置施工及验收规范》</w:t>
            </w:r>
          </w:p>
        </w:tc>
      </w:tr>
      <w:tr w14:paraId="4939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358D4AC">
            <w:r>
              <w:t>5</w:t>
            </w:r>
          </w:p>
        </w:tc>
        <w:tc>
          <w:tcPr>
            <w:tcW w:w="3402" w:type="dxa"/>
          </w:tcPr>
          <w:p w14:paraId="793CF4D6">
            <w:r>
              <w:t>GB26860-2011</w:t>
            </w:r>
          </w:p>
        </w:tc>
        <w:tc>
          <w:tcPr>
            <w:tcW w:w="3906" w:type="dxa"/>
          </w:tcPr>
          <w:p w14:paraId="7ABDFAFD">
            <w:r>
              <w:t>《电力安全工作规程（发电厂和变电站电气部分）》</w:t>
            </w:r>
          </w:p>
        </w:tc>
      </w:tr>
      <w:tr w14:paraId="0233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62CC7FE">
            <w:r>
              <w:t>6</w:t>
            </w:r>
          </w:p>
        </w:tc>
        <w:tc>
          <w:tcPr>
            <w:tcW w:w="3402" w:type="dxa"/>
          </w:tcPr>
          <w:p w14:paraId="714DE087">
            <w:r>
              <w:t>DL/T 5161</w:t>
            </w:r>
          </w:p>
        </w:tc>
        <w:tc>
          <w:tcPr>
            <w:tcW w:w="3906" w:type="dxa"/>
          </w:tcPr>
          <w:p w14:paraId="28EFCECD">
            <w:r>
              <w:t>《电气装置安装工程质量检验及评定规程》</w:t>
            </w:r>
          </w:p>
        </w:tc>
      </w:tr>
      <w:tr w14:paraId="59D1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E32CA05">
            <w:r>
              <w:t>7</w:t>
            </w:r>
          </w:p>
        </w:tc>
        <w:tc>
          <w:tcPr>
            <w:tcW w:w="7308" w:type="dxa"/>
            <w:gridSpan w:val="2"/>
          </w:tcPr>
          <w:p w14:paraId="7CBC5750">
            <w:r>
              <w:t>供电部门相关技术标准及验收规范</w:t>
            </w:r>
          </w:p>
        </w:tc>
      </w:tr>
    </w:tbl>
    <w:p w14:paraId="74B30724"/>
    <w:p w14:paraId="14630782">
      <w:pPr>
        <w:pStyle w:val="20"/>
        <w:numPr>
          <w:ilvl w:val="0"/>
          <w:numId w:val="13"/>
        </w:numPr>
        <w:ind w:firstLineChars="0"/>
        <w:outlineLvl w:val="1"/>
        <w:rPr>
          <w:rFonts w:ascii="楷体" w:hAnsi="楷体" w:eastAsia="楷体"/>
          <w:sz w:val="32"/>
        </w:rPr>
      </w:pPr>
      <w:r>
        <w:rPr>
          <w:rFonts w:ascii="楷体" w:hAnsi="楷体" w:eastAsia="楷体"/>
          <w:sz w:val="32"/>
        </w:rPr>
        <w:t>关键施工控制点</w:t>
      </w:r>
    </w:p>
    <w:p w14:paraId="7B1F07DF">
      <w:pPr>
        <w:ind w:firstLine="420" w:firstLineChars="200"/>
      </w:pPr>
      <w:r>
        <w:t>1.停电施工方案：凡涉及与现有配电系统连接的施工，须编制详细的停电施工方案，明确停电范围、时间、安全措施及应急预案，须经采购人及供电部门审批后方可实施。</w:t>
      </w:r>
    </w:p>
    <w:p w14:paraId="6FD1B057">
      <w:pPr>
        <w:ind w:firstLine="420" w:firstLineChars="200"/>
      </w:pPr>
      <w:r>
        <w:t>2.施工安全距离：临近带电设备施工须保持足够的安全距离，须办理工作票及安全交底。</w:t>
      </w:r>
    </w:p>
    <w:p w14:paraId="78CFD26C">
      <w:pPr>
        <w:ind w:firstLine="420" w:firstLineChars="200"/>
      </w:pPr>
      <w:r>
        <w:t>3.电缆耐压试验：电缆安装完成后须进行直流耐压试验及泄漏电流测试，合格后方可投入运行。</w:t>
      </w:r>
    </w:p>
    <w:p w14:paraId="49F6D159">
      <w:pPr>
        <w:ind w:firstLine="420" w:firstLineChars="200"/>
      </w:pPr>
      <w:r>
        <w:t>4.联锁功能测试：联锁装置须逐项试验，确保功能可靠、动作准确。</w:t>
      </w:r>
    </w:p>
    <w:p w14:paraId="5A66FF36">
      <w:pPr>
        <w:ind w:firstLine="420" w:firstLineChars="200"/>
      </w:pPr>
      <w:r>
        <w:t>5.相序核对：接入前须核对接入电源与市电相序一致。</w:t>
      </w:r>
    </w:p>
    <w:p w14:paraId="1F78B734">
      <w:pPr>
        <w:pStyle w:val="20"/>
        <w:numPr>
          <w:ilvl w:val="0"/>
          <w:numId w:val="14"/>
        </w:numPr>
        <w:ind w:firstLineChars="0"/>
        <w:outlineLvl w:val="0"/>
        <w:rPr>
          <w:rFonts w:ascii="黑体" w:hAnsi="黑体" w:eastAsia="黑体"/>
          <w:sz w:val="32"/>
        </w:rPr>
      </w:pPr>
      <w:r>
        <w:rPr>
          <w:rFonts w:ascii="黑体" w:hAnsi="黑体" w:eastAsia="黑体"/>
          <w:sz w:val="32"/>
        </w:rPr>
        <w:t>商务要求</w:t>
      </w:r>
    </w:p>
    <w:p w14:paraId="0E19632D">
      <w:pPr>
        <w:pStyle w:val="20"/>
        <w:numPr>
          <w:ilvl w:val="0"/>
          <w:numId w:val="15"/>
        </w:numPr>
        <w:ind w:firstLineChars="0"/>
        <w:outlineLvl w:val="1"/>
        <w:rPr>
          <w:rFonts w:ascii="楷体" w:hAnsi="楷体" w:eastAsia="楷体"/>
          <w:sz w:val="32"/>
        </w:rPr>
      </w:pPr>
      <w:r>
        <w:rPr>
          <w:rFonts w:ascii="楷体" w:hAnsi="楷体" w:eastAsia="楷体"/>
          <w:sz w:val="32"/>
        </w:rPr>
        <w:t>承包方式</w:t>
      </w:r>
    </w:p>
    <w:p w14:paraId="104F3D26">
      <w:pPr>
        <w:ind w:firstLine="420" w:firstLineChars="200"/>
      </w:pPr>
      <w:r>
        <w:rPr>
          <w:rFonts w:hint="eastAsia"/>
        </w:rPr>
        <w:t>本项目采用包工、包料、包质量、包工期、包安全、包文明施工、包验收的总价包干方式。报价须包含完成本项目全部工作内容的人工费、材料设备费、机械使用费、措施费、管理费、利润、税金及风险费等一切费用。</w:t>
      </w:r>
    </w:p>
    <w:p w14:paraId="4CB7605B">
      <w:pPr>
        <w:pStyle w:val="20"/>
        <w:numPr>
          <w:ilvl w:val="0"/>
          <w:numId w:val="16"/>
        </w:numPr>
        <w:ind w:firstLineChars="0"/>
        <w:outlineLvl w:val="1"/>
        <w:rPr>
          <w:rFonts w:ascii="楷体" w:hAnsi="楷体" w:eastAsia="楷体"/>
          <w:sz w:val="32"/>
        </w:rPr>
      </w:pPr>
      <w:r>
        <w:rPr>
          <w:rFonts w:ascii="楷体" w:hAnsi="楷体" w:eastAsia="楷体"/>
          <w:sz w:val="32"/>
        </w:rPr>
        <w:t>材料及设备要求</w:t>
      </w:r>
    </w:p>
    <w:p w14:paraId="3A9BE4D7">
      <w:pPr>
        <w:ind w:firstLine="420" w:firstLineChars="200"/>
      </w:pPr>
      <w:r>
        <w:t>1.本工程所需的所有材料和设备均由供应商负责采购；</w:t>
      </w:r>
    </w:p>
    <w:p w14:paraId="314C428A">
      <w:pPr>
        <w:ind w:firstLine="420" w:firstLineChars="200"/>
      </w:pPr>
      <w:r>
        <w:t>2.主要材料及设备（电缆、开关柜、快速连接器等）须选用符合国家标准的合格产品，并提供产品合格证、型式试验报告等质量证明文件；</w:t>
      </w:r>
    </w:p>
    <w:p w14:paraId="247E8519">
      <w:pPr>
        <w:ind w:firstLine="420" w:firstLineChars="200"/>
      </w:pPr>
      <w:r>
        <w:t>3.关键设备选型须经采购人书面确认后方可采购和安装；</w:t>
      </w:r>
    </w:p>
    <w:p w14:paraId="1C7B84B8">
      <w:pPr>
        <w:ind w:firstLine="420" w:firstLineChars="200"/>
      </w:pPr>
      <w:r>
        <w:t>4.严禁使用国家明令淘汰或不合格的产品。</w:t>
      </w:r>
    </w:p>
    <w:p w14:paraId="391E162F">
      <w:pPr>
        <w:ind w:firstLine="420" w:firstLineChars="200"/>
      </w:pPr>
    </w:p>
    <w:p w14:paraId="57B52075">
      <w:pPr>
        <w:ind w:firstLine="420" w:firstLineChars="200"/>
        <w:rPr>
          <w:rFonts w:hint="eastAsia"/>
        </w:rPr>
      </w:pPr>
    </w:p>
    <w:p w14:paraId="060BBB22">
      <w:pPr>
        <w:pStyle w:val="20"/>
        <w:numPr>
          <w:ilvl w:val="0"/>
          <w:numId w:val="17"/>
        </w:numPr>
        <w:ind w:firstLineChars="0"/>
        <w:outlineLvl w:val="1"/>
        <w:rPr>
          <w:rFonts w:ascii="楷体" w:hAnsi="楷体" w:eastAsia="楷体"/>
          <w:sz w:val="32"/>
        </w:rPr>
      </w:pPr>
      <w:r>
        <w:rPr>
          <w:rFonts w:ascii="楷体" w:hAnsi="楷体" w:eastAsia="楷体"/>
          <w:sz w:val="32"/>
        </w:rPr>
        <w:t>交付要求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977"/>
        <w:gridCol w:w="850"/>
        <w:gridCol w:w="3765"/>
      </w:tblGrid>
      <w:tr w14:paraId="351B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31A6831">
            <w:pPr>
              <w:jc w:val="center"/>
            </w:pPr>
            <w:r>
              <w:rPr>
                <w:rFonts w:hint="eastAsia"/>
              </w:rPr>
              <w:t>序号</w:t>
            </w:r>
          </w:p>
        </w:tc>
        <w:tc>
          <w:tcPr>
            <w:tcW w:w="2977" w:type="dxa"/>
            <w:vAlign w:val="center"/>
          </w:tcPr>
          <w:p w14:paraId="65E466FE">
            <w:pPr>
              <w:jc w:val="center"/>
            </w:pPr>
            <w:r>
              <w:t>交付物</w:t>
            </w:r>
          </w:p>
        </w:tc>
        <w:tc>
          <w:tcPr>
            <w:tcW w:w="850" w:type="dxa"/>
            <w:vAlign w:val="center"/>
          </w:tcPr>
          <w:p w14:paraId="09CAA2B5">
            <w:pPr>
              <w:jc w:val="center"/>
            </w:pPr>
            <w:r>
              <w:t>数量</w:t>
            </w:r>
          </w:p>
        </w:tc>
        <w:tc>
          <w:tcPr>
            <w:tcW w:w="3765" w:type="dxa"/>
            <w:vAlign w:val="center"/>
          </w:tcPr>
          <w:p w14:paraId="7754FA0B">
            <w:pPr>
              <w:jc w:val="center"/>
            </w:pPr>
            <w:r>
              <w:t>要求</w:t>
            </w:r>
          </w:p>
        </w:tc>
      </w:tr>
      <w:tr w14:paraId="2A55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AF35E78">
            <w:pPr>
              <w:jc w:val="center"/>
            </w:pPr>
            <w:r>
              <w:t>1</w:t>
            </w:r>
          </w:p>
        </w:tc>
        <w:tc>
          <w:tcPr>
            <w:tcW w:w="2977" w:type="dxa"/>
            <w:vAlign w:val="center"/>
          </w:tcPr>
          <w:p w14:paraId="1CA669D2">
            <w:pPr>
              <w:jc w:val="center"/>
            </w:pPr>
            <w:r>
              <w:t>竣工图</w:t>
            </w:r>
          </w:p>
        </w:tc>
        <w:tc>
          <w:tcPr>
            <w:tcW w:w="850" w:type="dxa"/>
            <w:vAlign w:val="center"/>
          </w:tcPr>
          <w:p w14:paraId="38B64566">
            <w:pPr>
              <w:jc w:val="center"/>
            </w:pPr>
            <w:r>
              <w:t>4套</w:t>
            </w:r>
          </w:p>
        </w:tc>
        <w:tc>
          <w:tcPr>
            <w:tcW w:w="3765" w:type="dxa"/>
            <w:vAlign w:val="center"/>
          </w:tcPr>
          <w:p w14:paraId="76257ECC">
            <w:pPr>
              <w:jc w:val="center"/>
            </w:pPr>
            <w:r>
              <w:t>纸质版+CAD电子版</w:t>
            </w:r>
          </w:p>
        </w:tc>
      </w:tr>
      <w:tr w14:paraId="4F2B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03BFF27">
            <w:pPr>
              <w:jc w:val="center"/>
            </w:pPr>
            <w:r>
              <w:t>2</w:t>
            </w:r>
          </w:p>
        </w:tc>
        <w:tc>
          <w:tcPr>
            <w:tcW w:w="2977" w:type="dxa"/>
            <w:vAlign w:val="center"/>
          </w:tcPr>
          <w:p w14:paraId="11BF8CEF">
            <w:pPr>
              <w:jc w:val="center"/>
            </w:pPr>
            <w:r>
              <w:t>竣工报告</w:t>
            </w:r>
          </w:p>
        </w:tc>
        <w:tc>
          <w:tcPr>
            <w:tcW w:w="850" w:type="dxa"/>
            <w:vAlign w:val="center"/>
          </w:tcPr>
          <w:p w14:paraId="719E9050">
            <w:pPr>
              <w:jc w:val="center"/>
            </w:pPr>
            <w:r>
              <w:t>3份</w:t>
            </w:r>
          </w:p>
        </w:tc>
        <w:tc>
          <w:tcPr>
            <w:tcW w:w="3765" w:type="dxa"/>
            <w:vAlign w:val="center"/>
          </w:tcPr>
          <w:p w14:paraId="7C5386D3">
            <w:pPr>
              <w:jc w:val="center"/>
            </w:pPr>
            <w:r>
              <w:t>含施工过程记录、隐蔽工程验收记录</w:t>
            </w:r>
          </w:p>
        </w:tc>
      </w:tr>
      <w:tr w14:paraId="1B6B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25EAD38">
            <w:pPr>
              <w:jc w:val="center"/>
            </w:pPr>
            <w:r>
              <w:t>3</w:t>
            </w:r>
          </w:p>
        </w:tc>
        <w:tc>
          <w:tcPr>
            <w:tcW w:w="2977" w:type="dxa"/>
            <w:vAlign w:val="center"/>
          </w:tcPr>
          <w:p w14:paraId="57F82ED7">
            <w:pPr>
              <w:jc w:val="center"/>
            </w:pPr>
            <w:r>
              <w:t>调试报告/试验报告</w:t>
            </w:r>
          </w:p>
        </w:tc>
        <w:tc>
          <w:tcPr>
            <w:tcW w:w="850" w:type="dxa"/>
            <w:vAlign w:val="center"/>
          </w:tcPr>
          <w:p w14:paraId="61231955">
            <w:pPr>
              <w:jc w:val="center"/>
            </w:pPr>
            <w:r>
              <w:t>3份</w:t>
            </w:r>
          </w:p>
        </w:tc>
        <w:tc>
          <w:tcPr>
            <w:tcW w:w="3765" w:type="dxa"/>
            <w:vAlign w:val="center"/>
          </w:tcPr>
          <w:p w14:paraId="73975F2E">
            <w:pPr>
              <w:jc w:val="center"/>
            </w:pPr>
            <w:r>
              <w:t>含耐压试验、联锁试验记录</w:t>
            </w:r>
          </w:p>
        </w:tc>
      </w:tr>
      <w:tr w14:paraId="2D32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0DF3051">
            <w:pPr>
              <w:jc w:val="center"/>
            </w:pPr>
            <w:r>
              <w:t>4</w:t>
            </w:r>
          </w:p>
        </w:tc>
        <w:tc>
          <w:tcPr>
            <w:tcW w:w="2977" w:type="dxa"/>
            <w:vAlign w:val="center"/>
          </w:tcPr>
          <w:p w14:paraId="1BF59D62">
            <w:pPr>
              <w:jc w:val="center"/>
            </w:pPr>
            <w:r>
              <w:t>设备合格证及质量证明文件</w:t>
            </w:r>
          </w:p>
        </w:tc>
        <w:tc>
          <w:tcPr>
            <w:tcW w:w="850" w:type="dxa"/>
            <w:vAlign w:val="center"/>
          </w:tcPr>
          <w:p w14:paraId="65142821">
            <w:pPr>
              <w:jc w:val="center"/>
            </w:pPr>
            <w:r>
              <w:t>1套</w:t>
            </w:r>
          </w:p>
        </w:tc>
        <w:tc>
          <w:tcPr>
            <w:tcW w:w="3765" w:type="dxa"/>
            <w:vAlign w:val="center"/>
          </w:tcPr>
          <w:p w14:paraId="5173D8BA">
            <w:pPr>
              <w:jc w:val="center"/>
            </w:pPr>
            <w:r>
              <w:t>原件或加盖公章的复印件</w:t>
            </w:r>
          </w:p>
        </w:tc>
      </w:tr>
      <w:tr w14:paraId="71EC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95ACDAA">
            <w:pPr>
              <w:jc w:val="center"/>
            </w:pPr>
            <w:r>
              <w:t>5</w:t>
            </w:r>
          </w:p>
        </w:tc>
        <w:tc>
          <w:tcPr>
            <w:tcW w:w="2977" w:type="dxa"/>
            <w:vAlign w:val="center"/>
          </w:tcPr>
          <w:p w14:paraId="38EBE29C">
            <w:pPr>
              <w:jc w:val="center"/>
            </w:pPr>
            <w:r>
              <w:t>操作手册及维护说明</w:t>
            </w:r>
          </w:p>
        </w:tc>
        <w:tc>
          <w:tcPr>
            <w:tcW w:w="850" w:type="dxa"/>
            <w:vAlign w:val="center"/>
          </w:tcPr>
          <w:p w14:paraId="09DFF969">
            <w:pPr>
              <w:jc w:val="center"/>
            </w:pPr>
            <w:r>
              <w:t>3份</w:t>
            </w:r>
          </w:p>
        </w:tc>
        <w:tc>
          <w:tcPr>
            <w:tcW w:w="3765" w:type="dxa"/>
            <w:vAlign w:val="center"/>
          </w:tcPr>
          <w:p w14:paraId="7AA5CA41">
            <w:pPr>
              <w:jc w:val="center"/>
            </w:pPr>
            <w:r>
              <w:t>纸质+电子版</w:t>
            </w:r>
          </w:p>
        </w:tc>
      </w:tr>
    </w:tbl>
    <w:p w14:paraId="02252F50">
      <w:pPr>
        <w:pStyle w:val="20"/>
        <w:numPr>
          <w:ilvl w:val="0"/>
          <w:numId w:val="18"/>
        </w:numPr>
        <w:ind w:firstLineChars="0"/>
        <w:outlineLvl w:val="1"/>
        <w:rPr>
          <w:rFonts w:ascii="楷体" w:hAnsi="楷体" w:eastAsia="楷体"/>
          <w:sz w:val="32"/>
        </w:rPr>
      </w:pPr>
      <w:r>
        <w:rPr>
          <w:rFonts w:ascii="楷体" w:hAnsi="楷体" w:eastAsia="楷体"/>
          <w:sz w:val="32"/>
        </w:rPr>
        <w:t>工期要求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2551"/>
        <w:gridCol w:w="3765"/>
      </w:tblGrid>
      <w:tr w14:paraId="0663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30E722ED">
            <w:pPr>
              <w:jc w:val="center"/>
            </w:pPr>
            <w:r>
              <w:rPr>
                <w:rFonts w:hint="eastAsia"/>
              </w:rPr>
              <w:t>阶段</w:t>
            </w:r>
          </w:p>
        </w:tc>
        <w:tc>
          <w:tcPr>
            <w:tcW w:w="2551" w:type="dxa"/>
            <w:vAlign w:val="center"/>
          </w:tcPr>
          <w:p w14:paraId="3CBB1CB3">
            <w:pPr>
              <w:jc w:val="center"/>
            </w:pPr>
            <w:r>
              <w:t>时间节点</w:t>
            </w:r>
          </w:p>
        </w:tc>
        <w:tc>
          <w:tcPr>
            <w:tcW w:w="3765" w:type="dxa"/>
            <w:vAlign w:val="center"/>
          </w:tcPr>
          <w:p w14:paraId="539282D8">
            <w:pPr>
              <w:jc w:val="center"/>
            </w:pPr>
            <w:r>
              <w:t>工作内容</w:t>
            </w:r>
          </w:p>
        </w:tc>
      </w:tr>
      <w:tr w14:paraId="1C6B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10B1B9C6">
            <w:pPr>
              <w:jc w:val="center"/>
            </w:pPr>
            <w:r>
              <w:rPr>
                <w:rFonts w:hint="eastAsia"/>
              </w:rPr>
              <w:t>施工准备</w:t>
            </w:r>
          </w:p>
        </w:tc>
        <w:tc>
          <w:tcPr>
            <w:tcW w:w="2551" w:type="dxa"/>
            <w:vAlign w:val="center"/>
          </w:tcPr>
          <w:p w14:paraId="1D95CBDF">
            <w:pPr>
              <w:jc w:val="center"/>
            </w:pPr>
            <w:r>
              <w:t>合同签订后5日内</w:t>
            </w:r>
          </w:p>
        </w:tc>
        <w:tc>
          <w:tcPr>
            <w:tcW w:w="3765" w:type="dxa"/>
            <w:vAlign w:val="center"/>
          </w:tcPr>
          <w:p w14:paraId="4BF86F68">
            <w:pPr>
              <w:jc w:val="center"/>
            </w:pPr>
            <w:r>
              <w:t>进场报备、材料采购、施工方案报审</w:t>
            </w:r>
          </w:p>
        </w:tc>
      </w:tr>
      <w:tr w14:paraId="5822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6F7BED08">
            <w:pPr>
              <w:jc w:val="center"/>
            </w:pPr>
            <w:r>
              <w:rPr>
                <w:rFonts w:hint="eastAsia"/>
              </w:rPr>
              <w:t>土建及安装施工</w:t>
            </w:r>
          </w:p>
        </w:tc>
        <w:tc>
          <w:tcPr>
            <w:tcW w:w="2551" w:type="dxa"/>
            <w:vAlign w:val="center"/>
          </w:tcPr>
          <w:p w14:paraId="64EDAD6E">
            <w:pPr>
              <w:jc w:val="center"/>
            </w:pPr>
            <w:r>
              <w:t>开工后30日内</w:t>
            </w:r>
          </w:p>
        </w:tc>
        <w:tc>
          <w:tcPr>
            <w:tcW w:w="3765" w:type="dxa"/>
            <w:vAlign w:val="center"/>
          </w:tcPr>
          <w:p w14:paraId="6CC1E81E">
            <w:pPr>
              <w:jc w:val="center"/>
            </w:pPr>
            <w:r>
              <w:t>基础施工、设备安装、电缆敷设</w:t>
            </w:r>
          </w:p>
        </w:tc>
      </w:tr>
      <w:tr w14:paraId="4F41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586FBF1">
            <w:pPr>
              <w:jc w:val="center"/>
            </w:pPr>
            <w:r>
              <w:rPr>
                <w:rFonts w:hint="eastAsia"/>
              </w:rPr>
              <w:t>调试试验</w:t>
            </w:r>
          </w:p>
        </w:tc>
        <w:tc>
          <w:tcPr>
            <w:tcW w:w="2551" w:type="dxa"/>
            <w:vAlign w:val="center"/>
          </w:tcPr>
          <w:p w14:paraId="73FE3F78">
            <w:pPr>
              <w:jc w:val="center"/>
            </w:pPr>
            <w:r>
              <w:t>安装完成后7日内</w:t>
            </w:r>
          </w:p>
        </w:tc>
        <w:tc>
          <w:tcPr>
            <w:tcW w:w="3765" w:type="dxa"/>
            <w:vAlign w:val="center"/>
          </w:tcPr>
          <w:p w14:paraId="409C377F">
            <w:pPr>
              <w:jc w:val="center"/>
            </w:pPr>
            <w:r>
              <w:t>系统调试、电气试验、联锁测试</w:t>
            </w:r>
          </w:p>
        </w:tc>
      </w:tr>
      <w:tr w14:paraId="0E7D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6B186477">
            <w:pPr>
              <w:jc w:val="center"/>
            </w:pPr>
            <w:r>
              <w:rPr>
                <w:rFonts w:hint="eastAsia"/>
              </w:rPr>
              <w:t>竣工验收</w:t>
            </w:r>
          </w:p>
        </w:tc>
        <w:tc>
          <w:tcPr>
            <w:tcW w:w="2551" w:type="dxa"/>
            <w:vAlign w:val="center"/>
          </w:tcPr>
          <w:p w14:paraId="7CF96D87">
            <w:pPr>
              <w:jc w:val="center"/>
            </w:pPr>
            <w:r>
              <w:t>调试合格后5日内</w:t>
            </w:r>
          </w:p>
        </w:tc>
        <w:tc>
          <w:tcPr>
            <w:tcW w:w="3765" w:type="dxa"/>
            <w:vAlign w:val="center"/>
          </w:tcPr>
          <w:p w14:paraId="1F45116B">
            <w:pPr>
              <w:jc w:val="center"/>
            </w:pPr>
            <w:r>
              <w:t>联合验收、送电</w:t>
            </w:r>
          </w:p>
        </w:tc>
      </w:tr>
    </w:tbl>
    <w:p w14:paraId="6FCD66A4">
      <w:pPr>
        <w:ind w:firstLine="420" w:firstLineChars="200"/>
      </w:pPr>
      <w:r>
        <w:rPr>
          <w:rFonts w:hint="eastAsia"/>
        </w:rPr>
        <w:t>总工期：自合同签订之日起不超过</w:t>
      </w:r>
      <w:r>
        <w:t>45个日历天。</w:t>
      </w:r>
    </w:p>
    <w:p w14:paraId="007C7C50">
      <w:pPr>
        <w:pStyle w:val="20"/>
        <w:numPr>
          <w:ilvl w:val="0"/>
          <w:numId w:val="19"/>
        </w:numPr>
        <w:ind w:firstLineChars="0"/>
        <w:outlineLvl w:val="1"/>
        <w:rPr>
          <w:rFonts w:ascii="楷体" w:hAnsi="楷体" w:eastAsia="楷体"/>
          <w:sz w:val="32"/>
        </w:rPr>
      </w:pPr>
      <w:r>
        <w:rPr>
          <w:rFonts w:ascii="楷体" w:hAnsi="楷体" w:eastAsia="楷体"/>
          <w:sz w:val="32"/>
        </w:rPr>
        <w:t>验收标准</w:t>
      </w:r>
    </w:p>
    <w:p w14:paraId="0B1590B9">
      <w:pPr>
        <w:ind w:firstLine="420" w:firstLineChars="200"/>
      </w:pPr>
      <w:r>
        <w:t>1.中间验收：隐蔽工程（基础、电缆通道、接地装置等）施工完成后，须经采购人验收合格后方可进行下一道工序；</w:t>
      </w:r>
    </w:p>
    <w:p w14:paraId="76B8195F">
      <w:pPr>
        <w:ind w:firstLine="420" w:firstLineChars="200"/>
      </w:pPr>
      <w:r>
        <w:t>2.竣工验收：全部工程内容完成后，供应商须提交竣工资料，由采购人组织联合验收；</w:t>
      </w:r>
    </w:p>
    <w:p w14:paraId="648F5367">
      <w:pPr>
        <w:ind w:firstLine="420" w:firstLineChars="200"/>
      </w:pPr>
      <w:r>
        <w:t>3.验收依据：以设计图纸、国家及行业施工验收规范、供电部门相关标准为依据；</w:t>
      </w:r>
    </w:p>
    <w:p w14:paraId="4359BCB1">
      <w:pPr>
        <w:ind w:firstLine="420" w:firstLineChars="200"/>
      </w:pPr>
      <w:r>
        <w:t>4.验收合格条件：所有设备安装正确、运行正常，电气试验全部合格，联锁保护功能可靠。</w:t>
      </w:r>
    </w:p>
    <w:p w14:paraId="4B7FE61F">
      <w:pPr>
        <w:pStyle w:val="20"/>
        <w:numPr>
          <w:ilvl w:val="0"/>
          <w:numId w:val="20"/>
        </w:numPr>
        <w:ind w:firstLineChars="0"/>
        <w:outlineLvl w:val="1"/>
        <w:rPr>
          <w:rFonts w:ascii="楷体" w:hAnsi="楷体" w:eastAsia="楷体"/>
          <w:sz w:val="32"/>
        </w:rPr>
      </w:pPr>
      <w:r>
        <w:rPr>
          <w:rFonts w:ascii="楷体" w:hAnsi="楷体" w:eastAsia="楷体"/>
          <w:sz w:val="32"/>
        </w:rPr>
        <w:t>质量保证及售后服务</w:t>
      </w:r>
    </w:p>
    <w:p w14:paraId="7BC142AF">
      <w:pPr>
        <w:ind w:firstLine="420" w:firstLineChars="200"/>
      </w:pPr>
      <w:r>
        <w:t>1.质保期：自竣工验收合格之日起，免费质保期为2年。</w:t>
      </w:r>
    </w:p>
    <w:p w14:paraId="1C23D474">
      <w:pPr>
        <w:ind w:firstLine="420" w:firstLineChars="200"/>
      </w:pPr>
      <w:r>
        <w:t>2.质保范围：质保期内因施工质量、材料设备质量问题导致的故障或损坏，由供应商免费维修或更换。</w:t>
      </w:r>
    </w:p>
    <w:p w14:paraId="554C3CE4">
      <w:pPr>
        <w:ind w:firstLine="420" w:firstLineChars="200"/>
      </w:pPr>
      <w:r>
        <w:t>3.响应时效：</w:t>
      </w:r>
    </w:p>
    <w:p w14:paraId="6A9A7304">
      <w:pPr>
        <w:ind w:firstLine="420" w:firstLineChars="200"/>
      </w:pPr>
      <w:r>
        <w:rPr>
          <w:rFonts w:hint="eastAsia"/>
        </w:rPr>
        <w:t>（1）</w:t>
      </w:r>
      <w:r>
        <w:t>提供7×24小时服务热线；</w:t>
      </w:r>
    </w:p>
    <w:p w14:paraId="76BD2385">
      <w:pPr>
        <w:ind w:firstLine="420" w:firstLineChars="200"/>
      </w:pPr>
      <w:r>
        <w:rPr>
          <w:rFonts w:hint="eastAsia"/>
        </w:rPr>
        <w:t>（2）</w:t>
      </w:r>
      <w:r>
        <w:t>接到故障报修后，响应时间不超过2小时；</w:t>
      </w:r>
    </w:p>
    <w:p w14:paraId="56694C91">
      <w:pPr>
        <w:ind w:firstLine="420" w:firstLineChars="200"/>
      </w:pPr>
      <w:r>
        <w:rPr>
          <w:rFonts w:hint="eastAsia"/>
        </w:rPr>
        <w:t>（3）</w:t>
      </w:r>
      <w:r>
        <w:t>一般故障修复时间不超过24小时，重大故障修复时间不超过72小时。</w:t>
      </w:r>
    </w:p>
    <w:p w14:paraId="04A64AC8">
      <w:pPr>
        <w:pStyle w:val="20"/>
        <w:numPr>
          <w:ilvl w:val="0"/>
          <w:numId w:val="21"/>
        </w:numPr>
        <w:ind w:firstLineChars="0"/>
        <w:outlineLvl w:val="1"/>
        <w:rPr>
          <w:rFonts w:ascii="楷体" w:hAnsi="楷体" w:eastAsia="楷体"/>
          <w:sz w:val="32"/>
        </w:rPr>
      </w:pPr>
      <w:r>
        <w:rPr>
          <w:rFonts w:ascii="楷体" w:hAnsi="楷体" w:eastAsia="楷体"/>
          <w:sz w:val="32"/>
        </w:rPr>
        <w:t>安全文明施工要求</w:t>
      </w:r>
    </w:p>
    <w:p w14:paraId="15577DF4">
      <w:pPr>
        <w:ind w:firstLine="420" w:firstLineChars="200"/>
      </w:pPr>
      <w:r>
        <w:t>1.施工单位须与采购人签订安全施工协议，严格遵守医院安全生产管理规定；</w:t>
      </w:r>
    </w:p>
    <w:p w14:paraId="34B20DD5">
      <w:pPr>
        <w:ind w:firstLine="420" w:firstLineChars="200"/>
      </w:pPr>
      <w:r>
        <w:t>2.施工现场须设置围挡和警示标识，施工区域与医院正常通行区域有效隔离；</w:t>
      </w:r>
    </w:p>
    <w:p w14:paraId="28060CA5">
      <w:pPr>
        <w:ind w:firstLine="420" w:firstLineChars="200"/>
      </w:pPr>
      <w:r>
        <w:t>3.施工人员须持证上岗（电工证、焊工证等），进场前须接受安全教育和安全交底；</w:t>
      </w:r>
    </w:p>
    <w:p w14:paraId="49B6B1AD">
      <w:pPr>
        <w:ind w:firstLine="420" w:firstLineChars="200"/>
      </w:pPr>
      <w:r>
        <w:t>4.施工过程中须对周边设施进行有效保护，如有损坏须照价赔偿；</w:t>
      </w:r>
    </w:p>
    <w:p w14:paraId="6A088017">
      <w:pPr>
        <w:ind w:firstLine="420" w:firstLineChars="200"/>
      </w:pPr>
      <w:r>
        <w:t>5.施工产生的建筑垃圾须当日清运，做到工完场清。</w:t>
      </w:r>
    </w:p>
    <w:p w14:paraId="58598DB2">
      <w:pPr>
        <w:pStyle w:val="20"/>
        <w:numPr>
          <w:ilvl w:val="0"/>
          <w:numId w:val="22"/>
        </w:numPr>
        <w:ind w:firstLineChars="0"/>
        <w:outlineLvl w:val="0"/>
        <w:rPr>
          <w:rFonts w:ascii="黑体" w:hAnsi="黑体" w:eastAsia="黑体"/>
          <w:sz w:val="32"/>
        </w:rPr>
      </w:pPr>
      <w:r>
        <w:rPr>
          <w:rFonts w:ascii="黑体" w:hAnsi="黑体" w:eastAsia="黑体"/>
          <w:sz w:val="32"/>
        </w:rPr>
        <w:t>供应商资格要求</w:t>
      </w:r>
    </w:p>
    <w:p w14:paraId="1E3C2492">
      <w:pPr>
        <w:ind w:firstLine="420" w:firstLineChars="200"/>
      </w:pPr>
      <w:r>
        <w:t>1.参选人须具备国内独立法人资格，持有合法有效的企业法人营业执照；</w:t>
      </w:r>
    </w:p>
    <w:p w14:paraId="4A04EEA7">
      <w:pPr>
        <w:ind w:firstLine="420" w:firstLineChars="200"/>
      </w:pPr>
      <w:r>
        <w:t>2.参选人须具备建设行政主管部门核发的电力工程施工总承包三级及以上资质或输变电工程专业承包三级及以上资质，同时具备有效的安全生产许可证；</w:t>
      </w:r>
    </w:p>
    <w:p w14:paraId="6FBA4AB5">
      <w:pPr>
        <w:ind w:firstLine="420" w:firstLineChars="200"/>
      </w:pPr>
      <w:r>
        <w:t>3.参选人须具备国家能源局（原国家电监会）核发的承装（修、试）电力设施许可证，许可类别和等级须满足：承装类五级及以上、承修类五级及以上、承试类五级及以上；</w:t>
      </w:r>
    </w:p>
    <w:p w14:paraId="0F2031AD">
      <w:pPr>
        <w:ind w:firstLine="420" w:firstLineChars="200"/>
      </w:pPr>
      <w:r>
        <w:t>4.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14:paraId="4CACE299">
      <w:pPr>
        <w:ind w:firstLine="420" w:firstLineChars="200"/>
      </w:pPr>
      <w:r>
        <w:t>5.具有良好的商业信誉和健全的财务会计制度，须提供《资格声明函》；</w:t>
      </w:r>
    </w:p>
    <w:p w14:paraId="42ACC4AB">
      <w:pPr>
        <w:ind w:firstLine="420" w:firstLineChars="200"/>
      </w:pPr>
      <w:r>
        <w:t>6.有依法缴纳税收和社会保障资金的良好记录，须提供《资格声明函》；</w:t>
      </w:r>
    </w:p>
    <w:p w14:paraId="103D1BB7">
      <w:pPr>
        <w:ind w:firstLine="420" w:firstLineChars="200"/>
      </w:pPr>
      <w:r>
        <w:t>7.具有履行合同所必需的设备和专业技术能力，须按响应文件格式填报设备及专业技术能力情况或提供《资格声明函》；</w:t>
      </w:r>
    </w:p>
    <w:p w14:paraId="5805D2A5">
      <w:pPr>
        <w:ind w:firstLine="420" w:firstLineChars="200"/>
      </w:pPr>
      <w:r>
        <w:t>8.近三年内（2023年1月1日至今）具有至少1项同类电力工程或配电工程施工业绩（须提供合同复印件）。</w:t>
      </w:r>
    </w:p>
    <w:p w14:paraId="4D64E6E3">
      <w:pPr>
        <w:pStyle w:val="20"/>
        <w:numPr>
          <w:ilvl w:val="0"/>
          <w:numId w:val="23"/>
        </w:numPr>
        <w:ind w:firstLineChars="0"/>
        <w:outlineLvl w:val="0"/>
        <w:rPr>
          <w:rFonts w:ascii="黑体" w:hAnsi="黑体" w:eastAsia="黑体"/>
          <w:sz w:val="32"/>
        </w:rPr>
      </w:pPr>
      <w:r>
        <w:rPr>
          <w:rFonts w:ascii="黑体" w:hAnsi="黑体" w:eastAsia="黑体"/>
          <w:sz w:val="32"/>
        </w:rPr>
        <w:t>报价要求</w:t>
      </w:r>
    </w:p>
    <w:p w14:paraId="22D111A6">
      <w:pPr>
        <w:pStyle w:val="20"/>
        <w:numPr>
          <w:ilvl w:val="0"/>
          <w:numId w:val="24"/>
        </w:numPr>
        <w:ind w:firstLineChars="0"/>
        <w:outlineLvl w:val="1"/>
        <w:rPr>
          <w:rFonts w:ascii="楷体" w:hAnsi="楷体" w:eastAsia="楷体"/>
          <w:sz w:val="32"/>
        </w:rPr>
      </w:pPr>
      <w:r>
        <w:rPr>
          <w:rFonts w:ascii="楷体" w:hAnsi="楷体" w:eastAsia="楷体"/>
          <w:sz w:val="32"/>
        </w:rPr>
        <w:t>报价方式</w:t>
      </w:r>
    </w:p>
    <w:p w14:paraId="55AEEE1F">
      <w:pPr>
        <w:ind w:firstLine="420" w:firstLineChars="200"/>
      </w:pPr>
      <w:r>
        <w:t>1.本项目采用工程量清单报价方式，供应商须按采购人提供的工程量清单格式进行综合单价报价；</w:t>
      </w:r>
    </w:p>
    <w:p w14:paraId="76DE207F">
      <w:pPr>
        <w:ind w:firstLine="420" w:firstLineChars="200"/>
      </w:pPr>
      <w:r>
        <w:t>2.报价须包含完成本项目全部工作内容的人工费、材料设备费、机械使用费、措施费、管理费、利润、税金及风险费等一切费用；</w:t>
      </w:r>
    </w:p>
    <w:p w14:paraId="4F0B4750">
      <w:pPr>
        <w:ind w:firstLine="420" w:firstLineChars="200"/>
      </w:pPr>
      <w:r>
        <w:t>3.报价文件</w:t>
      </w:r>
      <w:r>
        <w:rPr>
          <w:rFonts w:hint="eastAsia"/>
        </w:rPr>
        <w:t>应</w:t>
      </w:r>
      <w:r>
        <w:t>附综合单价分析表。</w:t>
      </w:r>
    </w:p>
    <w:p w14:paraId="017BF9F9">
      <w:pPr>
        <w:pStyle w:val="20"/>
        <w:numPr>
          <w:ilvl w:val="0"/>
          <w:numId w:val="25"/>
        </w:numPr>
        <w:ind w:firstLineChars="0"/>
        <w:outlineLvl w:val="1"/>
        <w:rPr>
          <w:rFonts w:ascii="楷体" w:hAnsi="楷体" w:eastAsia="楷体"/>
          <w:sz w:val="32"/>
        </w:rPr>
      </w:pPr>
      <w:r>
        <w:rPr>
          <w:rFonts w:ascii="楷体" w:hAnsi="楷体" w:eastAsia="楷体"/>
          <w:sz w:val="32"/>
        </w:rPr>
        <w:t>报价参考格式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360"/>
        <w:gridCol w:w="699"/>
        <w:gridCol w:w="654"/>
        <w:gridCol w:w="1559"/>
        <w:gridCol w:w="1134"/>
        <w:gridCol w:w="1213"/>
      </w:tblGrid>
      <w:tr w14:paraId="0061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4BEFCA3C">
            <w:pPr>
              <w:jc w:val="center"/>
            </w:pPr>
            <w:r>
              <w:rPr>
                <w:rFonts w:hint="eastAsia"/>
              </w:rPr>
              <w:t>序号</w:t>
            </w:r>
          </w:p>
        </w:tc>
        <w:tc>
          <w:tcPr>
            <w:tcW w:w="2360" w:type="dxa"/>
            <w:vAlign w:val="center"/>
          </w:tcPr>
          <w:p w14:paraId="1B7AC5DA">
            <w:pPr>
              <w:jc w:val="center"/>
            </w:pPr>
            <w:r>
              <w:t>项目名称</w:t>
            </w:r>
          </w:p>
        </w:tc>
        <w:tc>
          <w:tcPr>
            <w:tcW w:w="699" w:type="dxa"/>
            <w:vAlign w:val="center"/>
          </w:tcPr>
          <w:p w14:paraId="66F4D27F">
            <w:pPr>
              <w:jc w:val="center"/>
            </w:pPr>
            <w:r>
              <w:t>单位</w:t>
            </w:r>
          </w:p>
        </w:tc>
        <w:tc>
          <w:tcPr>
            <w:tcW w:w="654" w:type="dxa"/>
            <w:vAlign w:val="center"/>
          </w:tcPr>
          <w:p w14:paraId="1354955F">
            <w:pPr>
              <w:jc w:val="center"/>
            </w:pPr>
            <w:r>
              <w:t>数量</w:t>
            </w:r>
          </w:p>
        </w:tc>
        <w:tc>
          <w:tcPr>
            <w:tcW w:w="1559" w:type="dxa"/>
            <w:vAlign w:val="center"/>
          </w:tcPr>
          <w:p w14:paraId="63F85AFE">
            <w:pPr>
              <w:jc w:val="center"/>
            </w:pPr>
            <w:r>
              <w:t>综合单价（元）</w:t>
            </w:r>
          </w:p>
        </w:tc>
        <w:tc>
          <w:tcPr>
            <w:tcW w:w="1134" w:type="dxa"/>
            <w:vAlign w:val="center"/>
          </w:tcPr>
          <w:p w14:paraId="1F2585AC">
            <w:pPr>
              <w:jc w:val="center"/>
            </w:pPr>
            <w:r>
              <w:t>合价（元）</w:t>
            </w:r>
          </w:p>
        </w:tc>
        <w:tc>
          <w:tcPr>
            <w:tcW w:w="1213" w:type="dxa"/>
            <w:vAlign w:val="center"/>
          </w:tcPr>
          <w:p w14:paraId="43F1B83B">
            <w:pPr>
              <w:jc w:val="center"/>
            </w:pPr>
            <w:r>
              <w:t>备注</w:t>
            </w:r>
          </w:p>
        </w:tc>
      </w:tr>
      <w:tr w14:paraId="11A1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278C0CF9">
            <w:pPr>
              <w:jc w:val="center"/>
            </w:pPr>
            <w:r>
              <w:t>1</w:t>
            </w:r>
          </w:p>
        </w:tc>
        <w:tc>
          <w:tcPr>
            <w:tcW w:w="2360" w:type="dxa"/>
            <w:vAlign w:val="center"/>
          </w:tcPr>
          <w:p w14:paraId="06E60D78">
            <w:pPr>
              <w:jc w:val="center"/>
            </w:pPr>
            <w:r>
              <w:t>快速连接器采购及安装</w:t>
            </w:r>
          </w:p>
        </w:tc>
        <w:tc>
          <w:tcPr>
            <w:tcW w:w="699" w:type="dxa"/>
            <w:vAlign w:val="center"/>
          </w:tcPr>
          <w:p w14:paraId="416F14CE">
            <w:pPr>
              <w:jc w:val="center"/>
            </w:pPr>
            <w:r>
              <w:t>个</w:t>
            </w:r>
          </w:p>
        </w:tc>
        <w:tc>
          <w:tcPr>
            <w:tcW w:w="654" w:type="dxa"/>
            <w:vAlign w:val="center"/>
          </w:tcPr>
          <w:p w14:paraId="2CC5222E">
            <w:pPr>
              <w:jc w:val="center"/>
            </w:pPr>
            <w:r>
              <w:t>4</w:t>
            </w:r>
          </w:p>
        </w:tc>
        <w:tc>
          <w:tcPr>
            <w:tcW w:w="1559" w:type="dxa"/>
            <w:vAlign w:val="center"/>
          </w:tcPr>
          <w:p w14:paraId="50F8699A">
            <w:pPr>
              <w:jc w:val="center"/>
            </w:pPr>
          </w:p>
        </w:tc>
        <w:tc>
          <w:tcPr>
            <w:tcW w:w="1134" w:type="dxa"/>
            <w:vAlign w:val="center"/>
          </w:tcPr>
          <w:p w14:paraId="1B264305">
            <w:pPr>
              <w:jc w:val="center"/>
            </w:pPr>
          </w:p>
        </w:tc>
        <w:tc>
          <w:tcPr>
            <w:tcW w:w="1213" w:type="dxa"/>
            <w:vAlign w:val="center"/>
          </w:tcPr>
          <w:p w14:paraId="40C1ECAB">
            <w:pPr>
              <w:jc w:val="center"/>
            </w:pPr>
          </w:p>
        </w:tc>
      </w:tr>
      <w:tr w14:paraId="48B8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5D9679CB">
            <w:pPr>
              <w:jc w:val="center"/>
            </w:pPr>
            <w:r>
              <w:t>2</w:t>
            </w:r>
          </w:p>
        </w:tc>
        <w:tc>
          <w:tcPr>
            <w:tcW w:w="2360" w:type="dxa"/>
            <w:vAlign w:val="center"/>
          </w:tcPr>
          <w:p w14:paraId="3A06BD91">
            <w:pPr>
              <w:jc w:val="center"/>
            </w:pPr>
            <w:r>
              <w:t>快速接入开关柜采购及安装</w:t>
            </w:r>
          </w:p>
        </w:tc>
        <w:tc>
          <w:tcPr>
            <w:tcW w:w="699" w:type="dxa"/>
            <w:vAlign w:val="center"/>
          </w:tcPr>
          <w:p w14:paraId="755E6F9C">
            <w:pPr>
              <w:jc w:val="center"/>
            </w:pPr>
            <w:r>
              <w:t>台</w:t>
            </w:r>
          </w:p>
        </w:tc>
        <w:tc>
          <w:tcPr>
            <w:tcW w:w="654" w:type="dxa"/>
            <w:vAlign w:val="center"/>
          </w:tcPr>
          <w:p w14:paraId="383AD3DB">
            <w:pPr>
              <w:jc w:val="center"/>
            </w:pPr>
            <w:r>
              <w:t>4</w:t>
            </w:r>
          </w:p>
        </w:tc>
        <w:tc>
          <w:tcPr>
            <w:tcW w:w="1559" w:type="dxa"/>
            <w:vAlign w:val="center"/>
          </w:tcPr>
          <w:p w14:paraId="009D3A3D">
            <w:pPr>
              <w:jc w:val="center"/>
            </w:pPr>
          </w:p>
        </w:tc>
        <w:tc>
          <w:tcPr>
            <w:tcW w:w="1134" w:type="dxa"/>
            <w:vAlign w:val="center"/>
          </w:tcPr>
          <w:p w14:paraId="246DF1A2">
            <w:pPr>
              <w:jc w:val="center"/>
            </w:pPr>
          </w:p>
        </w:tc>
        <w:tc>
          <w:tcPr>
            <w:tcW w:w="1213" w:type="dxa"/>
            <w:vAlign w:val="center"/>
          </w:tcPr>
          <w:p w14:paraId="59BE0A7F">
            <w:pPr>
              <w:jc w:val="center"/>
            </w:pPr>
          </w:p>
        </w:tc>
      </w:tr>
      <w:tr w14:paraId="02D1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507AF9B8">
            <w:pPr>
              <w:jc w:val="center"/>
            </w:pPr>
            <w:r>
              <w:t>3</w:t>
            </w:r>
          </w:p>
        </w:tc>
        <w:tc>
          <w:tcPr>
            <w:tcW w:w="2360" w:type="dxa"/>
            <w:vAlign w:val="center"/>
          </w:tcPr>
          <w:p w14:paraId="11A48100">
            <w:pPr>
              <w:jc w:val="center"/>
            </w:pPr>
            <w:r>
              <w:t>电力电缆采购及敷设</w:t>
            </w:r>
          </w:p>
        </w:tc>
        <w:tc>
          <w:tcPr>
            <w:tcW w:w="699" w:type="dxa"/>
            <w:vAlign w:val="center"/>
          </w:tcPr>
          <w:p w14:paraId="6FD9ADAF">
            <w:pPr>
              <w:jc w:val="center"/>
            </w:pPr>
            <w:r>
              <w:t>m</w:t>
            </w:r>
          </w:p>
        </w:tc>
        <w:tc>
          <w:tcPr>
            <w:tcW w:w="654" w:type="dxa"/>
            <w:vAlign w:val="center"/>
          </w:tcPr>
          <w:p w14:paraId="11243635">
            <w:pPr>
              <w:jc w:val="center"/>
            </w:pPr>
          </w:p>
        </w:tc>
        <w:tc>
          <w:tcPr>
            <w:tcW w:w="1559" w:type="dxa"/>
            <w:vAlign w:val="center"/>
          </w:tcPr>
          <w:p w14:paraId="1E2E239E">
            <w:pPr>
              <w:jc w:val="center"/>
            </w:pPr>
          </w:p>
        </w:tc>
        <w:tc>
          <w:tcPr>
            <w:tcW w:w="1134" w:type="dxa"/>
            <w:vAlign w:val="center"/>
          </w:tcPr>
          <w:p w14:paraId="788D4062">
            <w:pPr>
              <w:jc w:val="center"/>
            </w:pPr>
          </w:p>
        </w:tc>
        <w:tc>
          <w:tcPr>
            <w:tcW w:w="1213" w:type="dxa"/>
            <w:vAlign w:val="center"/>
          </w:tcPr>
          <w:p w14:paraId="1FE9AF3A">
            <w:pPr>
              <w:jc w:val="center"/>
            </w:pPr>
          </w:p>
        </w:tc>
      </w:tr>
      <w:tr w14:paraId="3369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77A5ADC4">
            <w:pPr>
              <w:jc w:val="center"/>
            </w:pPr>
            <w:r>
              <w:t>4</w:t>
            </w:r>
          </w:p>
        </w:tc>
        <w:tc>
          <w:tcPr>
            <w:tcW w:w="2360" w:type="dxa"/>
            <w:vAlign w:val="center"/>
          </w:tcPr>
          <w:p w14:paraId="409F1E9B">
            <w:pPr>
              <w:jc w:val="center"/>
            </w:pPr>
            <w:r>
              <w:t>设备基础施工</w:t>
            </w:r>
          </w:p>
        </w:tc>
        <w:tc>
          <w:tcPr>
            <w:tcW w:w="699" w:type="dxa"/>
            <w:vAlign w:val="center"/>
          </w:tcPr>
          <w:p w14:paraId="59CD0445">
            <w:pPr>
              <w:jc w:val="center"/>
            </w:pPr>
            <w:r>
              <w:t>项</w:t>
            </w:r>
          </w:p>
        </w:tc>
        <w:tc>
          <w:tcPr>
            <w:tcW w:w="654" w:type="dxa"/>
            <w:vAlign w:val="center"/>
          </w:tcPr>
          <w:p w14:paraId="77142F3D">
            <w:pPr>
              <w:jc w:val="center"/>
            </w:pPr>
            <w:r>
              <w:t>1</w:t>
            </w:r>
          </w:p>
        </w:tc>
        <w:tc>
          <w:tcPr>
            <w:tcW w:w="1559" w:type="dxa"/>
            <w:vAlign w:val="center"/>
          </w:tcPr>
          <w:p w14:paraId="0A893FF9">
            <w:pPr>
              <w:jc w:val="center"/>
            </w:pPr>
          </w:p>
        </w:tc>
        <w:tc>
          <w:tcPr>
            <w:tcW w:w="1134" w:type="dxa"/>
            <w:vAlign w:val="center"/>
          </w:tcPr>
          <w:p w14:paraId="44047233">
            <w:pPr>
              <w:jc w:val="center"/>
            </w:pPr>
          </w:p>
        </w:tc>
        <w:tc>
          <w:tcPr>
            <w:tcW w:w="1213" w:type="dxa"/>
            <w:vAlign w:val="center"/>
          </w:tcPr>
          <w:p w14:paraId="77D30C4F">
            <w:pPr>
              <w:jc w:val="center"/>
            </w:pPr>
          </w:p>
        </w:tc>
      </w:tr>
      <w:tr w14:paraId="17D6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6781DFED">
            <w:pPr>
              <w:jc w:val="center"/>
            </w:pPr>
            <w:r>
              <w:t>5</w:t>
            </w:r>
          </w:p>
        </w:tc>
        <w:tc>
          <w:tcPr>
            <w:tcW w:w="2360" w:type="dxa"/>
            <w:vAlign w:val="center"/>
          </w:tcPr>
          <w:p w14:paraId="2E2998C5">
            <w:pPr>
              <w:jc w:val="center"/>
            </w:pPr>
            <w:r>
              <w:t>电缆沟/管廊施工</w:t>
            </w:r>
          </w:p>
        </w:tc>
        <w:tc>
          <w:tcPr>
            <w:tcW w:w="699" w:type="dxa"/>
            <w:vAlign w:val="center"/>
          </w:tcPr>
          <w:p w14:paraId="55003F26">
            <w:pPr>
              <w:jc w:val="center"/>
            </w:pPr>
            <w:r>
              <w:t>m</w:t>
            </w:r>
          </w:p>
        </w:tc>
        <w:tc>
          <w:tcPr>
            <w:tcW w:w="654" w:type="dxa"/>
            <w:vAlign w:val="center"/>
          </w:tcPr>
          <w:p w14:paraId="7C823A1D">
            <w:pPr>
              <w:jc w:val="center"/>
            </w:pPr>
          </w:p>
        </w:tc>
        <w:tc>
          <w:tcPr>
            <w:tcW w:w="1559" w:type="dxa"/>
            <w:vAlign w:val="center"/>
          </w:tcPr>
          <w:p w14:paraId="5C2DD284">
            <w:pPr>
              <w:jc w:val="center"/>
            </w:pPr>
          </w:p>
        </w:tc>
        <w:tc>
          <w:tcPr>
            <w:tcW w:w="1134" w:type="dxa"/>
            <w:vAlign w:val="center"/>
          </w:tcPr>
          <w:p w14:paraId="0AA7C0E6">
            <w:pPr>
              <w:jc w:val="center"/>
            </w:pPr>
          </w:p>
        </w:tc>
        <w:tc>
          <w:tcPr>
            <w:tcW w:w="1213" w:type="dxa"/>
            <w:vAlign w:val="center"/>
          </w:tcPr>
          <w:p w14:paraId="64D9C0BC">
            <w:pPr>
              <w:jc w:val="center"/>
            </w:pPr>
          </w:p>
        </w:tc>
      </w:tr>
      <w:tr w14:paraId="0EEA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46DD93B0">
            <w:pPr>
              <w:jc w:val="center"/>
            </w:pPr>
            <w:r>
              <w:t>6</w:t>
            </w:r>
          </w:p>
        </w:tc>
        <w:tc>
          <w:tcPr>
            <w:tcW w:w="2360" w:type="dxa"/>
            <w:vAlign w:val="center"/>
          </w:tcPr>
          <w:p w14:paraId="08E8DFF6">
            <w:pPr>
              <w:jc w:val="center"/>
            </w:pPr>
            <w:r>
              <w:t>接地装置施工</w:t>
            </w:r>
          </w:p>
        </w:tc>
        <w:tc>
          <w:tcPr>
            <w:tcW w:w="699" w:type="dxa"/>
            <w:vAlign w:val="center"/>
          </w:tcPr>
          <w:p w14:paraId="1E1C5ADA">
            <w:pPr>
              <w:jc w:val="center"/>
            </w:pPr>
            <w:r>
              <w:t>项</w:t>
            </w:r>
          </w:p>
        </w:tc>
        <w:tc>
          <w:tcPr>
            <w:tcW w:w="654" w:type="dxa"/>
            <w:vAlign w:val="center"/>
          </w:tcPr>
          <w:p w14:paraId="014C02DB">
            <w:pPr>
              <w:jc w:val="center"/>
            </w:pPr>
            <w:r>
              <w:t>1</w:t>
            </w:r>
          </w:p>
        </w:tc>
        <w:tc>
          <w:tcPr>
            <w:tcW w:w="1559" w:type="dxa"/>
            <w:vAlign w:val="center"/>
          </w:tcPr>
          <w:p w14:paraId="637B376C">
            <w:pPr>
              <w:jc w:val="center"/>
            </w:pPr>
          </w:p>
        </w:tc>
        <w:tc>
          <w:tcPr>
            <w:tcW w:w="1134" w:type="dxa"/>
            <w:vAlign w:val="center"/>
          </w:tcPr>
          <w:p w14:paraId="1C98B2A1">
            <w:pPr>
              <w:jc w:val="center"/>
            </w:pPr>
          </w:p>
        </w:tc>
        <w:tc>
          <w:tcPr>
            <w:tcW w:w="1213" w:type="dxa"/>
            <w:vAlign w:val="center"/>
          </w:tcPr>
          <w:p w14:paraId="1D994514">
            <w:pPr>
              <w:jc w:val="center"/>
            </w:pPr>
          </w:p>
        </w:tc>
      </w:tr>
      <w:tr w14:paraId="1978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2269558C">
            <w:pPr>
              <w:jc w:val="center"/>
            </w:pPr>
            <w:r>
              <w:t>7</w:t>
            </w:r>
          </w:p>
        </w:tc>
        <w:tc>
          <w:tcPr>
            <w:tcW w:w="2360" w:type="dxa"/>
            <w:vAlign w:val="center"/>
          </w:tcPr>
          <w:p w14:paraId="7B2C6165">
            <w:pPr>
              <w:jc w:val="center"/>
            </w:pPr>
            <w:r>
              <w:t>联锁保护系统安装调试</w:t>
            </w:r>
          </w:p>
        </w:tc>
        <w:tc>
          <w:tcPr>
            <w:tcW w:w="699" w:type="dxa"/>
            <w:vAlign w:val="center"/>
          </w:tcPr>
          <w:p w14:paraId="56DB8536">
            <w:pPr>
              <w:jc w:val="center"/>
            </w:pPr>
            <w:r>
              <w:t>项</w:t>
            </w:r>
          </w:p>
        </w:tc>
        <w:tc>
          <w:tcPr>
            <w:tcW w:w="654" w:type="dxa"/>
            <w:vAlign w:val="center"/>
          </w:tcPr>
          <w:p w14:paraId="36F5CEBC">
            <w:pPr>
              <w:jc w:val="center"/>
            </w:pPr>
            <w:r>
              <w:t>1</w:t>
            </w:r>
          </w:p>
        </w:tc>
        <w:tc>
          <w:tcPr>
            <w:tcW w:w="1559" w:type="dxa"/>
            <w:vAlign w:val="center"/>
          </w:tcPr>
          <w:p w14:paraId="4A35E384">
            <w:pPr>
              <w:jc w:val="center"/>
            </w:pPr>
          </w:p>
        </w:tc>
        <w:tc>
          <w:tcPr>
            <w:tcW w:w="1134" w:type="dxa"/>
            <w:vAlign w:val="center"/>
          </w:tcPr>
          <w:p w14:paraId="5BB3FBF2">
            <w:pPr>
              <w:jc w:val="center"/>
            </w:pPr>
          </w:p>
        </w:tc>
        <w:tc>
          <w:tcPr>
            <w:tcW w:w="1213" w:type="dxa"/>
            <w:vAlign w:val="center"/>
          </w:tcPr>
          <w:p w14:paraId="528E048E">
            <w:pPr>
              <w:jc w:val="center"/>
            </w:pPr>
          </w:p>
        </w:tc>
      </w:tr>
      <w:tr w14:paraId="3426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444FC026">
            <w:pPr>
              <w:jc w:val="center"/>
            </w:pPr>
            <w:r>
              <w:t>8</w:t>
            </w:r>
          </w:p>
        </w:tc>
        <w:tc>
          <w:tcPr>
            <w:tcW w:w="2360" w:type="dxa"/>
            <w:vAlign w:val="center"/>
          </w:tcPr>
          <w:p w14:paraId="49387BA0">
            <w:pPr>
              <w:jc w:val="center"/>
            </w:pPr>
            <w:r>
              <w:t>系统调试及试验</w:t>
            </w:r>
          </w:p>
        </w:tc>
        <w:tc>
          <w:tcPr>
            <w:tcW w:w="699" w:type="dxa"/>
            <w:vAlign w:val="center"/>
          </w:tcPr>
          <w:p w14:paraId="4AC48829">
            <w:pPr>
              <w:jc w:val="center"/>
            </w:pPr>
            <w:r>
              <w:t>项</w:t>
            </w:r>
          </w:p>
        </w:tc>
        <w:tc>
          <w:tcPr>
            <w:tcW w:w="654" w:type="dxa"/>
            <w:vAlign w:val="center"/>
          </w:tcPr>
          <w:p w14:paraId="32DBE5B2">
            <w:pPr>
              <w:jc w:val="center"/>
            </w:pPr>
            <w:r>
              <w:t>1</w:t>
            </w:r>
          </w:p>
        </w:tc>
        <w:tc>
          <w:tcPr>
            <w:tcW w:w="1559" w:type="dxa"/>
            <w:vAlign w:val="center"/>
          </w:tcPr>
          <w:p w14:paraId="51F795FC">
            <w:pPr>
              <w:jc w:val="center"/>
            </w:pPr>
          </w:p>
        </w:tc>
        <w:tc>
          <w:tcPr>
            <w:tcW w:w="1134" w:type="dxa"/>
            <w:vAlign w:val="center"/>
          </w:tcPr>
          <w:p w14:paraId="5A2020BE">
            <w:pPr>
              <w:jc w:val="center"/>
            </w:pPr>
          </w:p>
        </w:tc>
        <w:tc>
          <w:tcPr>
            <w:tcW w:w="1213" w:type="dxa"/>
            <w:vAlign w:val="center"/>
          </w:tcPr>
          <w:p w14:paraId="2D217065">
            <w:pPr>
              <w:jc w:val="center"/>
            </w:pPr>
          </w:p>
        </w:tc>
      </w:tr>
      <w:tr w14:paraId="7B64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0DF92EC4">
            <w:pPr>
              <w:jc w:val="center"/>
            </w:pPr>
            <w:r>
              <w:t>9</w:t>
            </w:r>
          </w:p>
        </w:tc>
        <w:tc>
          <w:tcPr>
            <w:tcW w:w="2360" w:type="dxa"/>
            <w:vAlign w:val="center"/>
          </w:tcPr>
          <w:p w14:paraId="422C5DA4">
            <w:pPr>
              <w:jc w:val="center"/>
            </w:pPr>
            <w:r>
              <w:t>其他措施费</w:t>
            </w:r>
          </w:p>
        </w:tc>
        <w:tc>
          <w:tcPr>
            <w:tcW w:w="699" w:type="dxa"/>
            <w:vAlign w:val="center"/>
          </w:tcPr>
          <w:p w14:paraId="178EFADE">
            <w:pPr>
              <w:jc w:val="center"/>
            </w:pPr>
            <w:r>
              <w:t>项</w:t>
            </w:r>
          </w:p>
        </w:tc>
        <w:tc>
          <w:tcPr>
            <w:tcW w:w="654" w:type="dxa"/>
            <w:vAlign w:val="center"/>
          </w:tcPr>
          <w:p w14:paraId="0AF20692">
            <w:pPr>
              <w:jc w:val="center"/>
            </w:pPr>
            <w:r>
              <w:t>1</w:t>
            </w:r>
          </w:p>
        </w:tc>
        <w:tc>
          <w:tcPr>
            <w:tcW w:w="1559" w:type="dxa"/>
            <w:vAlign w:val="center"/>
          </w:tcPr>
          <w:p w14:paraId="69FBC4B9">
            <w:pPr>
              <w:jc w:val="center"/>
            </w:pPr>
          </w:p>
        </w:tc>
        <w:tc>
          <w:tcPr>
            <w:tcW w:w="1134" w:type="dxa"/>
            <w:vAlign w:val="center"/>
          </w:tcPr>
          <w:p w14:paraId="62AAA4B9">
            <w:pPr>
              <w:jc w:val="center"/>
            </w:pPr>
          </w:p>
        </w:tc>
        <w:tc>
          <w:tcPr>
            <w:tcW w:w="1213" w:type="dxa"/>
            <w:vAlign w:val="center"/>
          </w:tcPr>
          <w:p w14:paraId="7F5653BA">
            <w:pPr>
              <w:jc w:val="center"/>
            </w:pPr>
          </w:p>
        </w:tc>
      </w:tr>
      <w:tr w14:paraId="5D9B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Align w:val="center"/>
          </w:tcPr>
          <w:p w14:paraId="124C6550">
            <w:pPr>
              <w:jc w:val="center"/>
            </w:pPr>
          </w:p>
        </w:tc>
        <w:tc>
          <w:tcPr>
            <w:tcW w:w="2360" w:type="dxa"/>
            <w:vAlign w:val="center"/>
          </w:tcPr>
          <w:p w14:paraId="510A51A6">
            <w:pPr>
              <w:jc w:val="center"/>
            </w:pPr>
            <w:r>
              <w:t>合计</w:t>
            </w:r>
          </w:p>
        </w:tc>
        <w:tc>
          <w:tcPr>
            <w:tcW w:w="699" w:type="dxa"/>
            <w:vAlign w:val="center"/>
          </w:tcPr>
          <w:p w14:paraId="363E4FAE">
            <w:pPr>
              <w:jc w:val="center"/>
            </w:pPr>
          </w:p>
        </w:tc>
        <w:tc>
          <w:tcPr>
            <w:tcW w:w="654" w:type="dxa"/>
            <w:vAlign w:val="center"/>
          </w:tcPr>
          <w:p w14:paraId="0300E85A">
            <w:pPr>
              <w:jc w:val="center"/>
            </w:pPr>
          </w:p>
        </w:tc>
        <w:tc>
          <w:tcPr>
            <w:tcW w:w="1559" w:type="dxa"/>
            <w:vAlign w:val="center"/>
          </w:tcPr>
          <w:p w14:paraId="3FC1CA55">
            <w:pPr>
              <w:jc w:val="center"/>
            </w:pPr>
          </w:p>
        </w:tc>
        <w:tc>
          <w:tcPr>
            <w:tcW w:w="1134" w:type="dxa"/>
            <w:vAlign w:val="center"/>
          </w:tcPr>
          <w:p w14:paraId="45743D2E">
            <w:pPr>
              <w:jc w:val="center"/>
            </w:pPr>
          </w:p>
        </w:tc>
        <w:tc>
          <w:tcPr>
            <w:tcW w:w="1213" w:type="dxa"/>
            <w:vAlign w:val="center"/>
          </w:tcPr>
          <w:p w14:paraId="11872455">
            <w:pPr>
              <w:jc w:val="center"/>
            </w:pPr>
          </w:p>
        </w:tc>
      </w:tr>
    </w:tbl>
    <w:p w14:paraId="2BC644A6">
      <w:pPr>
        <w:pStyle w:val="20"/>
        <w:numPr>
          <w:ilvl w:val="0"/>
          <w:numId w:val="26"/>
        </w:numPr>
        <w:ind w:firstLineChars="0"/>
        <w:outlineLvl w:val="0"/>
        <w:rPr>
          <w:rFonts w:ascii="黑体" w:hAnsi="黑体" w:eastAsia="黑体"/>
          <w:sz w:val="32"/>
        </w:rPr>
      </w:pPr>
      <w:r>
        <w:rPr>
          <w:rFonts w:ascii="黑体" w:hAnsi="黑体" w:eastAsia="黑体"/>
          <w:sz w:val="32"/>
        </w:rPr>
        <w:t>评分标准（参考）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701"/>
        <w:gridCol w:w="4899"/>
      </w:tblGrid>
      <w:tr w14:paraId="59F2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21F88F3E">
            <w:r>
              <w:rPr>
                <w:rFonts w:hint="eastAsia"/>
              </w:rPr>
              <w:t>评分项</w:t>
            </w:r>
          </w:p>
        </w:tc>
        <w:tc>
          <w:tcPr>
            <w:tcW w:w="1701" w:type="dxa"/>
          </w:tcPr>
          <w:p w14:paraId="15E2E335">
            <w:r>
              <w:t>分值</w:t>
            </w:r>
          </w:p>
        </w:tc>
        <w:tc>
          <w:tcPr>
            <w:tcW w:w="4899" w:type="dxa"/>
          </w:tcPr>
          <w:p w14:paraId="32AB0578">
            <w:r>
              <w:t>说明</w:t>
            </w:r>
          </w:p>
        </w:tc>
      </w:tr>
      <w:tr w14:paraId="75E7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3AC2439F">
            <w:r>
              <w:rPr>
                <w:rFonts w:hint="eastAsia"/>
              </w:rPr>
              <w:t>价格分</w:t>
            </w:r>
          </w:p>
        </w:tc>
        <w:tc>
          <w:tcPr>
            <w:tcW w:w="1701" w:type="dxa"/>
          </w:tcPr>
          <w:p w14:paraId="680E9470">
            <w:r>
              <w:t>30分</w:t>
            </w:r>
          </w:p>
        </w:tc>
        <w:tc>
          <w:tcPr>
            <w:tcW w:w="4899" w:type="dxa"/>
          </w:tcPr>
          <w:p w14:paraId="147C3811">
            <w:r>
              <w:t>满足采购文件要求的最低有效报价为基准价，得满分</w:t>
            </w:r>
          </w:p>
        </w:tc>
      </w:tr>
      <w:tr w14:paraId="47D3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9D54A68">
            <w:r>
              <w:rPr>
                <w:rFonts w:hint="eastAsia"/>
              </w:rPr>
              <w:t>技术分</w:t>
            </w:r>
          </w:p>
        </w:tc>
        <w:tc>
          <w:tcPr>
            <w:tcW w:w="1701" w:type="dxa"/>
          </w:tcPr>
          <w:p w14:paraId="24B84C53">
            <w:r>
              <w:t>50分</w:t>
            </w:r>
          </w:p>
        </w:tc>
        <w:tc>
          <w:tcPr>
            <w:tcW w:w="4899" w:type="dxa"/>
          </w:tcPr>
          <w:p w14:paraId="565FD7EC">
            <w:r>
              <w:t>施工组织方案、质量保证措施、安全文明施工方案、进度计划等</w:t>
            </w:r>
          </w:p>
        </w:tc>
      </w:tr>
      <w:tr w14:paraId="7FDB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688A264C">
            <w:r>
              <w:rPr>
                <w:rFonts w:hint="eastAsia"/>
              </w:rPr>
              <w:t>商务分</w:t>
            </w:r>
          </w:p>
        </w:tc>
        <w:tc>
          <w:tcPr>
            <w:tcW w:w="1701" w:type="dxa"/>
          </w:tcPr>
          <w:p w14:paraId="15E1D510">
            <w:r>
              <w:t>20分</w:t>
            </w:r>
          </w:p>
        </w:tc>
        <w:tc>
          <w:tcPr>
            <w:tcW w:w="4899" w:type="dxa"/>
          </w:tcPr>
          <w:p w14:paraId="47116F79">
            <w:r>
              <w:t>企业资质、类似业绩、项目经理资质、售后服务承诺等</w:t>
            </w:r>
          </w:p>
        </w:tc>
      </w:tr>
    </w:tbl>
    <w:p w14:paraId="5F6AC48A">
      <w:pPr>
        <w:pStyle w:val="20"/>
        <w:numPr>
          <w:ilvl w:val="0"/>
          <w:numId w:val="27"/>
        </w:numPr>
        <w:ind w:firstLineChars="0"/>
        <w:outlineLvl w:val="0"/>
        <w:rPr>
          <w:rFonts w:ascii="黑体" w:hAnsi="黑体" w:eastAsia="黑体"/>
          <w:sz w:val="32"/>
        </w:rPr>
      </w:pPr>
      <w:r>
        <w:rPr>
          <w:rFonts w:ascii="黑体" w:hAnsi="黑体" w:eastAsia="黑体"/>
          <w:sz w:val="32"/>
        </w:rPr>
        <w:t>报名及提交要求</w:t>
      </w:r>
    </w:p>
    <w:p w14:paraId="5BE28A57">
      <w:pPr>
        <w:pStyle w:val="20"/>
        <w:numPr>
          <w:ilvl w:val="0"/>
          <w:numId w:val="28"/>
        </w:numPr>
        <w:ind w:firstLineChars="0"/>
        <w:outlineLvl w:val="1"/>
        <w:rPr>
          <w:rFonts w:ascii="楷体" w:hAnsi="楷体" w:eastAsia="楷体"/>
          <w:sz w:val="32"/>
        </w:rPr>
      </w:pPr>
      <w:r>
        <w:rPr>
          <w:rFonts w:ascii="楷体" w:hAnsi="楷体" w:eastAsia="楷体"/>
          <w:sz w:val="32"/>
        </w:rPr>
        <w:t>报名时间及地点</w:t>
      </w:r>
    </w:p>
    <w:p w14:paraId="6581EAD4">
      <w:pPr>
        <w:ind w:firstLine="420" w:firstLineChars="200"/>
      </w:pPr>
      <w:r>
        <w:t>1.时间：2026年</w:t>
      </w:r>
      <w:r>
        <w:rPr>
          <w:rFonts w:hint="eastAsia"/>
          <w:lang w:val="en-US" w:eastAsia="zh-CN"/>
        </w:rPr>
        <w:t>8</w:t>
      </w:r>
      <w:r>
        <w:t>月</w:t>
      </w:r>
      <w:r>
        <w:rPr>
          <w:rFonts w:hint="eastAsia"/>
          <w:lang w:val="en-US" w:eastAsia="zh-CN"/>
        </w:rPr>
        <w:t>10</w:t>
      </w:r>
      <w:r>
        <w:t>日，上午10:00至医院报名及看现场（行政楼一楼）</w:t>
      </w:r>
    </w:p>
    <w:p w14:paraId="1178B38A">
      <w:pPr>
        <w:ind w:firstLine="420" w:firstLineChars="200"/>
      </w:pPr>
      <w:r>
        <w:t>2.地点：广州市海珠区石榴岗路13号大院</w:t>
      </w:r>
    </w:p>
    <w:p w14:paraId="26DBAD9B">
      <w:pPr>
        <w:ind w:firstLine="420" w:firstLineChars="200"/>
      </w:pPr>
      <w:r>
        <w:t>3.需提交资格条件的报名材料，纸质版报名材料盖章当天交，电子版盖章扫描件发邮箱</w:t>
      </w:r>
    </w:p>
    <w:p w14:paraId="46555C5D">
      <w:pPr>
        <w:pStyle w:val="20"/>
        <w:numPr>
          <w:ilvl w:val="0"/>
          <w:numId w:val="29"/>
        </w:numPr>
        <w:ind w:firstLineChars="0"/>
        <w:outlineLvl w:val="1"/>
        <w:rPr>
          <w:rFonts w:ascii="楷体" w:hAnsi="楷体" w:eastAsia="楷体"/>
          <w:sz w:val="32"/>
        </w:rPr>
      </w:pPr>
      <w:r>
        <w:rPr>
          <w:rFonts w:ascii="楷体" w:hAnsi="楷体" w:eastAsia="楷体"/>
          <w:sz w:val="32"/>
        </w:rPr>
        <w:t>方案及报价提交</w:t>
      </w:r>
    </w:p>
    <w:p w14:paraId="0F4C4BF1">
      <w:pPr>
        <w:ind w:firstLine="420" w:firstLineChars="200"/>
      </w:pPr>
      <w:r>
        <w:t>1.截止时间：2026</w:t>
      </w:r>
      <w:r>
        <w:rPr>
          <w:rFonts w:hint="eastAsia"/>
        </w:rPr>
        <w:t>年</w:t>
      </w:r>
      <w:r>
        <w:rPr>
          <w:rFonts w:hint="eastAsia"/>
          <w:lang w:val="en-US" w:eastAsia="zh-CN"/>
        </w:rPr>
        <w:t>8</w:t>
      </w:r>
      <w:r>
        <w:rPr>
          <w:rFonts w:hint="eastAsia"/>
        </w:rPr>
        <w:t>月</w:t>
      </w:r>
      <w:r>
        <w:rPr>
          <w:rFonts w:hint="eastAsia"/>
          <w:lang w:val="en-US" w:eastAsia="zh-CN"/>
        </w:rPr>
        <w:t>12</w:t>
      </w:r>
      <w:r>
        <w:rPr>
          <w:rFonts w:hint="eastAsia"/>
        </w:rPr>
        <w:t>日</w:t>
      </w:r>
      <w:r>
        <w:t>17:30</w:t>
      </w:r>
      <w:r>
        <w:t>前</w:t>
      </w:r>
    </w:p>
    <w:p w14:paraId="5CE2CA29">
      <w:pPr>
        <w:ind w:firstLine="420" w:firstLineChars="200"/>
      </w:pPr>
      <w:r>
        <w:t>2.提交方式：纸质盖章文件快递或送至医院，盖章扫描件电子版发邮箱</w:t>
      </w:r>
    </w:p>
    <w:p w14:paraId="4AFADCC8">
      <w:pPr>
        <w:ind w:firstLine="420" w:firstLineChars="200"/>
      </w:pPr>
      <w:r>
        <w:t>3.邮寄地址：广州市海珠区石榴岗路13号大院行政楼二楼225</w:t>
      </w:r>
    </w:p>
    <w:p w14:paraId="29BE6A91">
      <w:pPr>
        <w:ind w:firstLine="420" w:firstLineChars="200"/>
      </w:pPr>
      <w:r>
        <w:t>4.邮箱：3828849568@qq.com</w:t>
      </w:r>
    </w:p>
    <w:p w14:paraId="729E1AC8">
      <w:r>
        <w:t>7.3 联系方式</w:t>
      </w:r>
    </w:p>
    <w:p w14:paraId="119531D3">
      <w:pPr>
        <w:ind w:firstLine="420" w:firstLineChars="200"/>
      </w:pPr>
      <w:r>
        <w:rPr>
          <w:rFonts w:hint="eastAsia"/>
        </w:rPr>
        <w:t>1</w:t>
      </w:r>
      <w:r>
        <w:t>.联系人：李小峻</w:t>
      </w:r>
    </w:p>
    <w:p w14:paraId="1D541367">
      <w:pPr>
        <w:ind w:firstLine="420" w:firstLineChars="200"/>
      </w:pPr>
      <w:r>
        <w:rPr>
          <w:rFonts w:hint="eastAsia"/>
        </w:rPr>
        <w:t>2</w:t>
      </w:r>
      <w:r>
        <w:t>.联系电话：020-61650552</w:t>
      </w:r>
    </w:p>
    <w:p w14:paraId="03788812">
      <w:pPr>
        <w:jc w:val="right"/>
      </w:pPr>
      <w:r>
        <w:rPr>
          <w:rFonts w:hint="eastAsia"/>
        </w:rPr>
        <w:t>南方医科大学中西医结合医院</w:t>
      </w:r>
    </w:p>
    <w:p w14:paraId="32F576F1">
      <w:pPr>
        <w:ind w:right="420"/>
        <w:jc w:val="right"/>
      </w:pPr>
      <w:r>
        <w:t>2026年</w:t>
      </w:r>
      <w:r>
        <w:rPr>
          <w:rFonts w:hint="eastAsia"/>
          <w:lang w:val="en-US" w:eastAsia="zh-CN"/>
        </w:rPr>
        <w:t>8</w:t>
      </w:r>
      <w:r>
        <w:t>月</w:t>
      </w:r>
      <w:r>
        <w:rPr>
          <w:rFonts w:hint="eastAsia"/>
          <w:lang w:val="en-US" w:eastAsia="zh-CN"/>
        </w:rPr>
        <w:t>3</w:t>
      </w:r>
      <w:r>
        <w:t>日</w:t>
      </w:r>
    </w:p>
    <w:p w14:paraId="24BC8B4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E6D65"/>
    <w:multiLevelType w:val="singleLevel"/>
    <w:tmpl w:val="083E6D65"/>
    <w:lvl w:ilvl="0" w:tentative="0">
      <w:start w:val="2"/>
      <w:numFmt w:val="decimal"/>
      <w:suff w:val="nothing"/>
      <w:lvlText w:val="%1．"/>
      <w:lvlJc w:val="left"/>
      <w:pPr>
        <w:ind w:left="0" w:firstLine="0"/>
      </w:pPr>
    </w:lvl>
  </w:abstractNum>
  <w:abstractNum w:abstractNumId="1">
    <w:nsid w:val="09B524AC"/>
    <w:multiLevelType w:val="singleLevel"/>
    <w:tmpl w:val="09B524AC"/>
    <w:lvl w:ilvl="0" w:tentative="0">
      <w:start w:val="7"/>
      <w:numFmt w:val="chineseCountingThousand"/>
      <w:suff w:val="nothing"/>
      <w:lvlText w:val="（%1）"/>
      <w:lvlJc w:val="left"/>
      <w:pPr>
        <w:ind w:left="0" w:firstLine="0"/>
      </w:pPr>
    </w:lvl>
  </w:abstractNum>
  <w:abstractNum w:abstractNumId="2">
    <w:nsid w:val="102509E5"/>
    <w:multiLevelType w:val="singleLevel"/>
    <w:tmpl w:val="102509E5"/>
    <w:lvl w:ilvl="0" w:tentative="0">
      <w:start w:val="2"/>
      <w:numFmt w:val="chineseCountingThousand"/>
      <w:suff w:val="nothing"/>
      <w:lvlText w:val="（%1）"/>
      <w:lvlJc w:val="left"/>
      <w:pPr>
        <w:ind w:left="0" w:firstLine="0"/>
      </w:pPr>
    </w:lvl>
  </w:abstractNum>
  <w:abstractNum w:abstractNumId="3">
    <w:nsid w:val="114115C2"/>
    <w:multiLevelType w:val="singleLevel"/>
    <w:tmpl w:val="114115C2"/>
    <w:lvl w:ilvl="0" w:tentative="0">
      <w:start w:val="1"/>
      <w:numFmt w:val="decimal"/>
      <w:suff w:val="nothing"/>
      <w:lvlText w:val="%1．"/>
      <w:lvlJc w:val="left"/>
      <w:pPr>
        <w:ind w:left="0" w:firstLine="0"/>
      </w:pPr>
    </w:lvl>
  </w:abstractNum>
  <w:abstractNum w:abstractNumId="4">
    <w:nsid w:val="139A3966"/>
    <w:multiLevelType w:val="singleLevel"/>
    <w:tmpl w:val="139A3966"/>
    <w:lvl w:ilvl="0" w:tentative="0">
      <w:start w:val="2"/>
      <w:numFmt w:val="chineseCountingThousand"/>
      <w:suff w:val="nothing"/>
      <w:lvlText w:val="（%1）"/>
      <w:lvlJc w:val="left"/>
      <w:pPr>
        <w:ind w:left="0" w:firstLine="0"/>
      </w:pPr>
    </w:lvl>
  </w:abstractNum>
  <w:abstractNum w:abstractNumId="5">
    <w:nsid w:val="151E4AE1"/>
    <w:multiLevelType w:val="singleLevel"/>
    <w:tmpl w:val="151E4AE1"/>
    <w:lvl w:ilvl="0" w:tentative="0">
      <w:start w:val="1"/>
      <w:numFmt w:val="chineseCountingThousand"/>
      <w:suff w:val="nothing"/>
      <w:lvlText w:val="（%1）"/>
      <w:lvlJc w:val="left"/>
      <w:pPr>
        <w:ind w:left="0" w:firstLine="0"/>
      </w:pPr>
    </w:lvl>
  </w:abstractNum>
  <w:abstractNum w:abstractNumId="6">
    <w:nsid w:val="1C3C563E"/>
    <w:multiLevelType w:val="singleLevel"/>
    <w:tmpl w:val="1C3C563E"/>
    <w:lvl w:ilvl="0" w:tentative="0">
      <w:start w:val="4"/>
      <w:numFmt w:val="chineseCountingThousand"/>
      <w:suff w:val="nothing"/>
      <w:lvlText w:val="（%1）"/>
      <w:lvlJc w:val="left"/>
      <w:pPr>
        <w:ind w:left="0" w:firstLine="0"/>
      </w:pPr>
    </w:lvl>
  </w:abstractNum>
  <w:abstractNum w:abstractNumId="7">
    <w:nsid w:val="1D0C7A3A"/>
    <w:multiLevelType w:val="singleLevel"/>
    <w:tmpl w:val="1D0C7A3A"/>
    <w:lvl w:ilvl="0" w:tentative="0">
      <w:start w:val="6"/>
      <w:numFmt w:val="chineseCountingThousand"/>
      <w:suff w:val="nothing"/>
      <w:lvlText w:val="（%1）"/>
      <w:lvlJc w:val="left"/>
      <w:pPr>
        <w:ind w:left="0" w:firstLine="0"/>
      </w:pPr>
    </w:lvl>
  </w:abstractNum>
  <w:abstractNum w:abstractNumId="8">
    <w:nsid w:val="1EA73289"/>
    <w:multiLevelType w:val="singleLevel"/>
    <w:tmpl w:val="1EA73289"/>
    <w:lvl w:ilvl="0" w:tentative="0">
      <w:start w:val="3"/>
      <w:numFmt w:val="chineseCountingThousand"/>
      <w:suff w:val="nothing"/>
      <w:lvlText w:val="（%1）"/>
      <w:lvlJc w:val="left"/>
      <w:pPr>
        <w:ind w:left="0" w:firstLine="0"/>
      </w:pPr>
    </w:lvl>
  </w:abstractNum>
  <w:abstractNum w:abstractNumId="9">
    <w:nsid w:val="20273B55"/>
    <w:multiLevelType w:val="singleLevel"/>
    <w:tmpl w:val="20273B55"/>
    <w:lvl w:ilvl="0" w:tentative="0">
      <w:start w:val="4"/>
      <w:numFmt w:val="chineseCountingThousand"/>
      <w:suff w:val="nothing"/>
      <w:lvlText w:val="（%1）"/>
      <w:lvlJc w:val="left"/>
      <w:pPr>
        <w:ind w:left="0" w:firstLine="0"/>
      </w:pPr>
    </w:lvl>
  </w:abstractNum>
  <w:abstractNum w:abstractNumId="10">
    <w:nsid w:val="2109004F"/>
    <w:multiLevelType w:val="singleLevel"/>
    <w:tmpl w:val="2109004F"/>
    <w:lvl w:ilvl="0" w:tentative="0">
      <w:start w:val="5"/>
      <w:numFmt w:val="chineseCountingThousand"/>
      <w:suff w:val="nothing"/>
      <w:lvlText w:val="（%1）"/>
      <w:lvlJc w:val="left"/>
      <w:pPr>
        <w:ind w:left="0" w:firstLine="0"/>
      </w:pPr>
    </w:lvl>
  </w:abstractNum>
  <w:abstractNum w:abstractNumId="11">
    <w:nsid w:val="247E2D7F"/>
    <w:multiLevelType w:val="singleLevel"/>
    <w:tmpl w:val="247E2D7F"/>
    <w:lvl w:ilvl="0" w:tentative="0">
      <w:start w:val="2"/>
      <w:numFmt w:val="chineseCountingThousand"/>
      <w:suff w:val="nothing"/>
      <w:lvlText w:val="（%1）"/>
      <w:lvlJc w:val="left"/>
      <w:pPr>
        <w:ind w:left="0" w:firstLine="0"/>
      </w:pPr>
    </w:lvl>
  </w:abstractNum>
  <w:abstractNum w:abstractNumId="12">
    <w:nsid w:val="24D06CCD"/>
    <w:multiLevelType w:val="singleLevel"/>
    <w:tmpl w:val="24D06CCD"/>
    <w:lvl w:ilvl="0" w:tentative="0">
      <w:start w:val="1"/>
      <w:numFmt w:val="chineseCountingThousand"/>
      <w:suff w:val="nothing"/>
      <w:lvlText w:val="（%1）"/>
      <w:lvlJc w:val="left"/>
      <w:pPr>
        <w:ind w:left="0" w:firstLine="0"/>
      </w:pPr>
    </w:lvl>
  </w:abstractNum>
  <w:abstractNum w:abstractNumId="13">
    <w:nsid w:val="24F57B20"/>
    <w:multiLevelType w:val="singleLevel"/>
    <w:tmpl w:val="24F57B20"/>
    <w:lvl w:ilvl="0" w:tentative="0">
      <w:start w:val="2"/>
      <w:numFmt w:val="chineseCountingThousand"/>
      <w:suff w:val="nothing"/>
      <w:lvlText w:val="（%1）"/>
      <w:lvlJc w:val="left"/>
      <w:pPr>
        <w:ind w:left="0" w:firstLine="0"/>
      </w:pPr>
    </w:lvl>
  </w:abstractNum>
  <w:abstractNum w:abstractNumId="14">
    <w:nsid w:val="2C1E294B"/>
    <w:multiLevelType w:val="singleLevel"/>
    <w:tmpl w:val="2C1E294B"/>
    <w:lvl w:ilvl="0" w:tentative="0">
      <w:start w:val="3"/>
      <w:numFmt w:val="chineseCountingThousand"/>
      <w:suff w:val="nothing"/>
      <w:lvlText w:val="%1、"/>
      <w:lvlJc w:val="left"/>
      <w:pPr>
        <w:ind w:left="0" w:firstLine="0"/>
      </w:pPr>
    </w:lvl>
  </w:abstractNum>
  <w:abstractNum w:abstractNumId="15">
    <w:nsid w:val="39D96C06"/>
    <w:multiLevelType w:val="singleLevel"/>
    <w:tmpl w:val="39D96C06"/>
    <w:lvl w:ilvl="0" w:tentative="0">
      <w:start w:val="4"/>
      <w:numFmt w:val="decimal"/>
      <w:suff w:val="nothing"/>
      <w:lvlText w:val="%1．"/>
      <w:lvlJc w:val="left"/>
      <w:pPr>
        <w:ind w:left="0" w:firstLine="0"/>
      </w:pPr>
    </w:lvl>
  </w:abstractNum>
  <w:abstractNum w:abstractNumId="16">
    <w:nsid w:val="41593B6D"/>
    <w:multiLevelType w:val="singleLevel"/>
    <w:tmpl w:val="41593B6D"/>
    <w:lvl w:ilvl="0" w:tentative="0">
      <w:start w:val="3"/>
      <w:numFmt w:val="chineseCountingThousand"/>
      <w:suff w:val="nothing"/>
      <w:lvlText w:val="（%1）"/>
      <w:lvlJc w:val="left"/>
      <w:pPr>
        <w:ind w:left="0" w:firstLine="0"/>
      </w:pPr>
    </w:lvl>
  </w:abstractNum>
  <w:abstractNum w:abstractNumId="17">
    <w:nsid w:val="4A2F3AD7"/>
    <w:multiLevelType w:val="singleLevel"/>
    <w:tmpl w:val="4A2F3AD7"/>
    <w:lvl w:ilvl="0" w:tentative="0">
      <w:start w:val="2"/>
      <w:numFmt w:val="chineseCountingThousand"/>
      <w:suff w:val="nothing"/>
      <w:lvlText w:val="（%1）"/>
      <w:lvlJc w:val="left"/>
      <w:pPr>
        <w:ind w:left="0" w:firstLine="0"/>
      </w:pPr>
    </w:lvl>
  </w:abstractNum>
  <w:abstractNum w:abstractNumId="18">
    <w:nsid w:val="54A44CF1"/>
    <w:multiLevelType w:val="singleLevel"/>
    <w:tmpl w:val="54A44CF1"/>
    <w:lvl w:ilvl="0" w:tentative="0">
      <w:start w:val="1"/>
      <w:numFmt w:val="chineseCountingThousand"/>
      <w:suff w:val="nothing"/>
      <w:lvlText w:val="%1、"/>
      <w:lvlJc w:val="left"/>
      <w:pPr>
        <w:ind w:left="0" w:firstLine="0"/>
      </w:pPr>
    </w:lvl>
  </w:abstractNum>
  <w:abstractNum w:abstractNumId="19">
    <w:nsid w:val="555C6DAE"/>
    <w:multiLevelType w:val="singleLevel"/>
    <w:tmpl w:val="555C6DAE"/>
    <w:lvl w:ilvl="0" w:tentative="0">
      <w:start w:val="4"/>
      <w:numFmt w:val="chineseCountingThousand"/>
      <w:suff w:val="nothing"/>
      <w:lvlText w:val="%1、"/>
      <w:lvlJc w:val="left"/>
      <w:pPr>
        <w:ind w:left="0" w:firstLine="0"/>
      </w:pPr>
    </w:lvl>
  </w:abstractNum>
  <w:abstractNum w:abstractNumId="20">
    <w:nsid w:val="55CE0653"/>
    <w:multiLevelType w:val="singleLevel"/>
    <w:tmpl w:val="55CE0653"/>
    <w:lvl w:ilvl="0" w:tentative="0">
      <w:start w:val="6"/>
      <w:numFmt w:val="chineseCountingThousand"/>
      <w:suff w:val="nothing"/>
      <w:lvlText w:val="%1、"/>
      <w:lvlJc w:val="left"/>
      <w:pPr>
        <w:ind w:left="0" w:firstLine="0"/>
      </w:pPr>
    </w:lvl>
  </w:abstractNum>
  <w:abstractNum w:abstractNumId="21">
    <w:nsid w:val="55E85B1D"/>
    <w:multiLevelType w:val="singleLevel"/>
    <w:tmpl w:val="55E85B1D"/>
    <w:lvl w:ilvl="0" w:tentative="0">
      <w:start w:val="3"/>
      <w:numFmt w:val="chineseCountingThousand"/>
      <w:suff w:val="nothing"/>
      <w:lvlText w:val="（%1）"/>
      <w:lvlJc w:val="left"/>
      <w:pPr>
        <w:ind w:left="0" w:firstLine="0"/>
      </w:pPr>
    </w:lvl>
  </w:abstractNum>
  <w:abstractNum w:abstractNumId="22">
    <w:nsid w:val="58A6194D"/>
    <w:multiLevelType w:val="singleLevel"/>
    <w:tmpl w:val="58A6194D"/>
    <w:lvl w:ilvl="0" w:tentative="0">
      <w:start w:val="1"/>
      <w:numFmt w:val="chineseCountingThousand"/>
      <w:suff w:val="nothing"/>
      <w:lvlText w:val="（%1）"/>
      <w:lvlJc w:val="left"/>
      <w:pPr>
        <w:ind w:left="0" w:firstLine="0"/>
      </w:pPr>
    </w:lvl>
  </w:abstractNum>
  <w:abstractNum w:abstractNumId="23">
    <w:nsid w:val="605C6326"/>
    <w:multiLevelType w:val="singleLevel"/>
    <w:tmpl w:val="605C6326"/>
    <w:lvl w:ilvl="0" w:tentative="0">
      <w:start w:val="1"/>
      <w:numFmt w:val="chineseCountingThousand"/>
      <w:suff w:val="nothing"/>
      <w:lvlText w:val="（%1）"/>
      <w:lvlJc w:val="left"/>
      <w:pPr>
        <w:ind w:left="0" w:firstLine="0"/>
      </w:pPr>
    </w:lvl>
  </w:abstractNum>
  <w:abstractNum w:abstractNumId="24">
    <w:nsid w:val="688B5B81"/>
    <w:multiLevelType w:val="singleLevel"/>
    <w:tmpl w:val="688B5B81"/>
    <w:lvl w:ilvl="0" w:tentative="0">
      <w:start w:val="1"/>
      <w:numFmt w:val="chineseCountingThousand"/>
      <w:suff w:val="nothing"/>
      <w:lvlText w:val="（%1）"/>
      <w:lvlJc w:val="left"/>
      <w:pPr>
        <w:ind w:left="0" w:firstLine="0"/>
      </w:pPr>
    </w:lvl>
  </w:abstractNum>
  <w:abstractNum w:abstractNumId="25">
    <w:nsid w:val="69676B8F"/>
    <w:multiLevelType w:val="singleLevel"/>
    <w:tmpl w:val="69676B8F"/>
    <w:lvl w:ilvl="0" w:tentative="0">
      <w:start w:val="7"/>
      <w:numFmt w:val="chineseCountingThousand"/>
      <w:suff w:val="nothing"/>
      <w:lvlText w:val="%1、"/>
      <w:lvlJc w:val="left"/>
      <w:pPr>
        <w:ind w:left="0" w:firstLine="0"/>
      </w:pPr>
    </w:lvl>
  </w:abstractNum>
  <w:abstractNum w:abstractNumId="26">
    <w:nsid w:val="72C65681"/>
    <w:multiLevelType w:val="singleLevel"/>
    <w:tmpl w:val="72C65681"/>
    <w:lvl w:ilvl="0" w:tentative="0">
      <w:start w:val="3"/>
      <w:numFmt w:val="decimal"/>
      <w:suff w:val="nothing"/>
      <w:lvlText w:val="%1．"/>
      <w:lvlJc w:val="left"/>
      <w:pPr>
        <w:ind w:left="0" w:firstLine="0"/>
      </w:pPr>
    </w:lvl>
  </w:abstractNum>
  <w:abstractNum w:abstractNumId="27">
    <w:nsid w:val="75102B3B"/>
    <w:multiLevelType w:val="singleLevel"/>
    <w:tmpl w:val="75102B3B"/>
    <w:lvl w:ilvl="0" w:tentative="0">
      <w:start w:val="5"/>
      <w:numFmt w:val="chineseCountingThousand"/>
      <w:suff w:val="nothing"/>
      <w:lvlText w:val="%1、"/>
      <w:lvlJc w:val="left"/>
      <w:pPr>
        <w:ind w:left="0" w:firstLine="0"/>
      </w:pPr>
    </w:lvl>
  </w:abstractNum>
  <w:abstractNum w:abstractNumId="28">
    <w:nsid w:val="7BEC5A56"/>
    <w:multiLevelType w:val="singleLevel"/>
    <w:tmpl w:val="7BEC5A56"/>
    <w:lvl w:ilvl="0" w:tentative="0">
      <w:start w:val="2"/>
      <w:numFmt w:val="chineseCountingThousand"/>
      <w:suff w:val="nothing"/>
      <w:lvlText w:val="%1、"/>
      <w:lvlJc w:val="left"/>
      <w:pPr>
        <w:ind w:left="0" w:firstLine="0"/>
      </w:pPr>
    </w:lvl>
  </w:abstractNum>
  <w:num w:numId="1">
    <w:abstractNumId w:val="18"/>
  </w:num>
  <w:num w:numId="2">
    <w:abstractNumId w:val="12"/>
  </w:num>
  <w:num w:numId="3">
    <w:abstractNumId w:val="4"/>
  </w:num>
  <w:num w:numId="4">
    <w:abstractNumId w:val="21"/>
  </w:num>
  <w:num w:numId="5">
    <w:abstractNumId w:val="28"/>
  </w:num>
  <w:num w:numId="6">
    <w:abstractNumId w:val="23"/>
  </w:num>
  <w:num w:numId="7">
    <w:abstractNumId w:val="2"/>
  </w:num>
  <w:num w:numId="8">
    <w:abstractNumId w:val="8"/>
  </w:num>
  <w:num w:numId="9">
    <w:abstractNumId w:val="3"/>
  </w:num>
  <w:num w:numId="10">
    <w:abstractNumId w:val="0"/>
  </w:num>
  <w:num w:numId="11">
    <w:abstractNumId w:val="26"/>
  </w:num>
  <w:num w:numId="12">
    <w:abstractNumId w:val="15"/>
  </w:num>
  <w:num w:numId="13">
    <w:abstractNumId w:val="6"/>
  </w:num>
  <w:num w:numId="14">
    <w:abstractNumId w:val="14"/>
  </w:num>
  <w:num w:numId="15">
    <w:abstractNumId w:val="5"/>
  </w:num>
  <w:num w:numId="16">
    <w:abstractNumId w:val="13"/>
  </w:num>
  <w:num w:numId="17">
    <w:abstractNumId w:val="16"/>
  </w:num>
  <w:num w:numId="18">
    <w:abstractNumId w:val="9"/>
  </w:num>
  <w:num w:numId="19">
    <w:abstractNumId w:val="10"/>
  </w:num>
  <w:num w:numId="20">
    <w:abstractNumId w:val="7"/>
  </w:num>
  <w:num w:numId="21">
    <w:abstractNumId w:val="1"/>
  </w:num>
  <w:num w:numId="22">
    <w:abstractNumId w:val="19"/>
  </w:num>
  <w:num w:numId="23">
    <w:abstractNumId w:val="27"/>
  </w:num>
  <w:num w:numId="24">
    <w:abstractNumId w:val="22"/>
  </w:num>
  <w:num w:numId="25">
    <w:abstractNumId w:val="17"/>
  </w:num>
  <w:num w:numId="26">
    <w:abstractNumId w:val="20"/>
  </w:num>
  <w:num w:numId="27">
    <w:abstractNumId w:val="25"/>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5B"/>
    <w:rsid w:val="00216CD5"/>
    <w:rsid w:val="00587665"/>
    <w:rsid w:val="00741F84"/>
    <w:rsid w:val="00DC1ADC"/>
    <w:rsid w:val="00EC545B"/>
    <w:rsid w:val="5C230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link w:val="1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6">
    <w:name w:val="footer"/>
    <w:basedOn w:val="1"/>
    <w:link w:val="14"/>
    <w:unhideWhenUsed/>
    <w:uiPriority w:val="99"/>
    <w:pPr>
      <w:tabs>
        <w:tab w:val="center" w:pos="4153"/>
        <w:tab w:val="right" w:pos="8306"/>
      </w:tabs>
      <w:snapToGrid w:val="0"/>
      <w:jc w:val="left"/>
    </w:pPr>
    <w:rPr>
      <w:sz w:val="18"/>
      <w:szCs w:val="18"/>
    </w:rPr>
  </w:style>
  <w:style w:type="paragraph" w:styleId="7">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semiHidden/>
    <w:unhideWhenUsed/>
    <w:qFormat/>
    <w:uiPriority w:val="99"/>
    <w:rPr>
      <w:color w:val="0000FF"/>
      <w:u w:val="single"/>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标题 1 字符"/>
    <w:basedOn w:val="10"/>
    <w:link w:val="2"/>
    <w:uiPriority w:val="9"/>
    <w:rPr>
      <w:rFonts w:ascii="宋体" w:hAnsi="宋体" w:eastAsia="宋体" w:cs="宋体"/>
      <w:b/>
      <w:bCs/>
      <w:kern w:val="36"/>
      <w:sz w:val="48"/>
      <w:szCs w:val="48"/>
    </w:rPr>
  </w:style>
  <w:style w:type="character" w:customStyle="1" w:styleId="16">
    <w:name w:val="标题 2 字符"/>
    <w:basedOn w:val="10"/>
    <w:link w:val="3"/>
    <w:qFormat/>
    <w:uiPriority w:val="9"/>
    <w:rPr>
      <w:rFonts w:ascii="宋体" w:hAnsi="宋体" w:eastAsia="宋体" w:cs="宋体"/>
      <w:b/>
      <w:bCs/>
      <w:kern w:val="0"/>
      <w:sz w:val="36"/>
      <w:szCs w:val="36"/>
    </w:rPr>
  </w:style>
  <w:style w:type="character" w:customStyle="1" w:styleId="17">
    <w:name w:val="标题 3 字符"/>
    <w:basedOn w:val="10"/>
    <w:link w:val="4"/>
    <w:qFormat/>
    <w:uiPriority w:val="9"/>
    <w:rPr>
      <w:rFonts w:ascii="宋体" w:hAnsi="宋体" w:eastAsia="宋体" w:cs="宋体"/>
      <w:b/>
      <w:bCs/>
      <w:kern w:val="0"/>
      <w:sz w:val="27"/>
      <w:szCs w:val="27"/>
    </w:rPr>
  </w:style>
  <w:style w:type="character" w:customStyle="1" w:styleId="18">
    <w:name w:val="标题 4 字符"/>
    <w:basedOn w:val="10"/>
    <w:link w:val="5"/>
    <w:uiPriority w:val="9"/>
    <w:rPr>
      <w:rFonts w:ascii="宋体" w:hAnsi="宋体" w:eastAsia="宋体" w:cs="宋体"/>
      <w:b/>
      <w:bCs/>
      <w:kern w:val="0"/>
      <w:sz w:val="24"/>
      <w:szCs w:val="24"/>
    </w:rPr>
  </w:style>
  <w:style w:type="paragraph" w:customStyle="1" w:styleId="19">
    <w:name w:val="ds-markdown-paragraph"/>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1938</Words>
  <Characters>2036</Characters>
  <Lines>30</Lines>
  <Paragraphs>8</Paragraphs>
  <TotalTime>0</TotalTime>
  <ScaleCrop>false</ScaleCrop>
  <LinksUpToDate>false</LinksUpToDate>
  <CharactersWithSpaces>2043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2026-07-27T13:45:00Z</dcterms:created>
  <dc:creator>tongmeng</dc:creator>
  <cp:lastModifiedBy>巾凡</cp:lastModifiedBy>
  <dcterms:modified xsi:type="dcterms:W3CDTF">2026-08-03T09:41:27Z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eyJoZGlkIjoiZDYwNWUwYjgwYWQ0ZGM1MTI0Y2U0MWEwYWVhOGM4NTMiLCJ1c2VySWQiOiIzOTM1MzM2NjEifQ==</vt:lpwstr>
  </property>
  <property fmtid="{D5CDD505-2E9C-101B-9397-08002B2CF9AE}" pid="3" name="KSOProductBuildVer">
    <vt:lpwstr>2052-12.1.0.28043</vt:lpwstr>
  </property>
  <property fmtid="{D5CDD505-2E9C-101B-9397-08002B2CF9AE}" pid="4" name="ICV">
    <vt:lpwstr>8AFEE80FB01D47058BCC6F265152A143_12</vt:lpwstr>
  </property>
</Properties>
</file>