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3A8B7">
      <w:pPr>
        <w:adjustRightInd w:val="0"/>
        <w:snapToGrid w:val="0"/>
        <w:spacing w:line="560" w:lineRule="exact"/>
        <w:ind w:left="164" w:firstLine="418"/>
        <w:jc w:val="center"/>
        <w:rPr>
          <w:rFonts w:ascii="Arial Unicode MS" w:hAnsi="Arial Unicode MS" w:cs="宋体"/>
          <w:sz w:val="44"/>
          <w:szCs w:val="44"/>
        </w:rPr>
      </w:pPr>
    </w:p>
    <w:p w14:paraId="7E5C689E">
      <w:pPr>
        <w:pStyle w:val="13"/>
        <w:spacing w:line="560" w:lineRule="exact"/>
        <w:rPr>
          <w:rFonts w:hint="eastAsia" w:ascii="方正小标宋简体" w:hAnsi="方正小标宋简体" w:eastAsia="方正小标宋简体" w:cs="方正小标宋简体"/>
          <w:sz w:val="56"/>
          <w:szCs w:val="56"/>
        </w:rPr>
      </w:pPr>
      <w:r>
        <w:rPr>
          <w:rFonts w:hint="eastAsia" w:ascii="方正小标宋简体" w:hAnsi="方正小标宋简体" w:eastAsia="方正小标宋简体" w:cs="方正小标宋简体"/>
          <w:sz w:val="56"/>
          <w:szCs w:val="56"/>
        </w:rPr>
        <w:t>南方医科大学中西医结合医院</w:t>
      </w:r>
    </w:p>
    <w:p w14:paraId="3A266411">
      <w:pPr>
        <w:pStyle w:val="13"/>
        <w:spacing w:line="560" w:lineRule="exact"/>
        <w:rPr>
          <w:rFonts w:hint="eastAsia" w:ascii="方正小标宋简体" w:hAnsi="方正小标宋简体" w:eastAsia="方正小标宋简体" w:cs="方正小标宋简体"/>
          <w:sz w:val="56"/>
          <w:szCs w:val="56"/>
        </w:rPr>
      </w:pPr>
      <w:r>
        <w:rPr>
          <w:rFonts w:hint="eastAsia" w:ascii="方正小标宋简体" w:hAnsi="方正小标宋简体" w:eastAsia="方正小标宋简体" w:cs="方正小标宋简体"/>
          <w:sz w:val="56"/>
          <w:szCs w:val="56"/>
        </w:rPr>
        <w:t>308nm紫外线光疗仪设备采购项目</w:t>
      </w:r>
    </w:p>
    <w:p w14:paraId="6DD9C4F4">
      <w:pPr>
        <w:pStyle w:val="13"/>
        <w:spacing w:line="560" w:lineRule="exact"/>
        <w:rPr>
          <w:rFonts w:hint="eastAsia" w:ascii="方正小标宋简体" w:hAnsi="方正小标宋简体" w:eastAsia="方正小标宋简体" w:cs="方正小标宋简体"/>
          <w:sz w:val="56"/>
          <w:szCs w:val="56"/>
        </w:rPr>
      </w:pPr>
    </w:p>
    <w:p w14:paraId="5665AA3E">
      <w:pPr>
        <w:pStyle w:val="13"/>
        <w:spacing w:line="560" w:lineRule="exact"/>
        <w:rPr>
          <w:rFonts w:hint="eastAsia" w:ascii="方正小标宋简体" w:hAnsi="方正小标宋简体" w:eastAsia="方正小标宋简体" w:cs="方正小标宋简体"/>
          <w:sz w:val="56"/>
          <w:szCs w:val="56"/>
        </w:rPr>
      </w:pPr>
    </w:p>
    <w:p w14:paraId="1540F20E">
      <w:pPr>
        <w:pStyle w:val="13"/>
        <w:spacing w:line="560" w:lineRule="exact"/>
        <w:rPr>
          <w:rFonts w:hint="eastAsia" w:ascii="方正小标宋简体" w:hAnsi="方正小标宋简体" w:eastAsia="方正小标宋简体" w:cs="方正小标宋简体"/>
          <w:sz w:val="56"/>
          <w:szCs w:val="56"/>
        </w:rPr>
      </w:pPr>
    </w:p>
    <w:p w14:paraId="7792BB47">
      <w:pPr>
        <w:pStyle w:val="13"/>
        <w:spacing w:line="560" w:lineRule="exact"/>
        <w:rPr>
          <w:rFonts w:hint="eastAsia" w:ascii="方正小标宋简体" w:hAnsi="方正小标宋简体" w:eastAsia="方正小标宋简体" w:cs="方正小标宋简体"/>
          <w:sz w:val="56"/>
          <w:szCs w:val="56"/>
        </w:rPr>
      </w:pPr>
    </w:p>
    <w:p w14:paraId="53279BD6">
      <w:pPr>
        <w:pStyle w:val="13"/>
        <w:spacing w:line="560" w:lineRule="exact"/>
        <w:rPr>
          <w:rFonts w:hint="eastAsia"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项目编号：NFZXY-2026-00025</w:t>
      </w:r>
    </w:p>
    <w:p w14:paraId="31924320">
      <w:pPr>
        <w:pStyle w:val="13"/>
        <w:spacing w:line="560" w:lineRule="exact"/>
        <w:rPr>
          <w:rFonts w:hint="eastAsia" w:ascii="方正小标宋简体" w:hAnsi="方正小标宋简体" w:eastAsia="方正小标宋简体" w:cs="方正小标宋简体"/>
          <w:sz w:val="56"/>
          <w:szCs w:val="56"/>
        </w:rPr>
      </w:pPr>
    </w:p>
    <w:p w14:paraId="5325E90F">
      <w:pPr>
        <w:spacing w:line="560" w:lineRule="exact"/>
      </w:pPr>
    </w:p>
    <w:p w14:paraId="706AB465">
      <w:pPr>
        <w:spacing w:line="560" w:lineRule="exact"/>
      </w:pPr>
    </w:p>
    <w:p w14:paraId="48977FA0">
      <w:pPr>
        <w:spacing w:line="560" w:lineRule="exact"/>
      </w:pPr>
    </w:p>
    <w:p w14:paraId="7707FD8E">
      <w:pPr>
        <w:spacing w:line="560" w:lineRule="exact"/>
      </w:pPr>
    </w:p>
    <w:p w14:paraId="08972806">
      <w:pPr>
        <w:pStyle w:val="13"/>
        <w:spacing w:line="560" w:lineRule="exact"/>
      </w:pPr>
    </w:p>
    <w:p w14:paraId="29E73656">
      <w:pPr>
        <w:adjustRightInd w:val="0"/>
        <w:snapToGrid w:val="0"/>
        <w:jc w:val="center"/>
        <w:rPr>
          <w:rFonts w:hint="eastAsia" w:ascii="方正小标宋简体" w:hAnsi="方正小标宋简体" w:eastAsia="方正小标宋简体" w:cs="方正小标宋简体"/>
          <w:b/>
          <w:bCs/>
          <w:sz w:val="60"/>
          <w:szCs w:val="60"/>
        </w:rPr>
      </w:pPr>
      <w:r>
        <w:rPr>
          <w:rFonts w:hint="eastAsia" w:ascii="方正小标宋简体" w:hAnsi="方正小标宋简体" w:eastAsia="方正小标宋简体" w:cs="方正小标宋简体"/>
          <w:b/>
          <w:bCs/>
          <w:sz w:val="60"/>
          <w:szCs w:val="60"/>
        </w:rPr>
        <w:t>院内竞磋文件</w:t>
      </w:r>
    </w:p>
    <w:p w14:paraId="261C5803">
      <w:pPr>
        <w:adjustRightInd w:val="0"/>
        <w:snapToGrid w:val="0"/>
        <w:spacing w:line="560" w:lineRule="exact"/>
        <w:ind w:left="164"/>
        <w:rPr>
          <w:rFonts w:ascii="Arial Unicode MS" w:hAnsi="Arial Unicode MS" w:cs="宋体"/>
          <w:b/>
          <w:bCs/>
          <w:sz w:val="44"/>
          <w:szCs w:val="44"/>
        </w:rPr>
      </w:pPr>
    </w:p>
    <w:p w14:paraId="28692B9B">
      <w:pPr>
        <w:adjustRightInd w:val="0"/>
        <w:snapToGrid w:val="0"/>
        <w:spacing w:line="560" w:lineRule="exact"/>
        <w:ind w:left="164"/>
        <w:rPr>
          <w:rFonts w:ascii="Arial Unicode MS" w:hAnsi="Arial Unicode MS" w:cs="宋体"/>
          <w:b/>
          <w:bCs/>
          <w:sz w:val="44"/>
          <w:szCs w:val="44"/>
        </w:rPr>
      </w:pPr>
    </w:p>
    <w:p w14:paraId="65BA9BD8">
      <w:pPr>
        <w:adjustRightInd w:val="0"/>
        <w:snapToGrid w:val="0"/>
        <w:spacing w:line="560" w:lineRule="exact"/>
        <w:ind w:left="164"/>
        <w:rPr>
          <w:rFonts w:ascii="Arial Unicode MS" w:hAnsi="Arial Unicode MS" w:cs="宋体"/>
          <w:b/>
          <w:bCs/>
          <w:sz w:val="44"/>
          <w:szCs w:val="44"/>
        </w:rPr>
      </w:pPr>
    </w:p>
    <w:p w14:paraId="42F992B2">
      <w:pPr>
        <w:pStyle w:val="13"/>
      </w:pPr>
    </w:p>
    <w:p w14:paraId="7B7D9FB6">
      <w:pPr>
        <w:pStyle w:val="48"/>
      </w:pPr>
    </w:p>
    <w:p w14:paraId="1D64FC49">
      <w:pPr>
        <w:adjustRightInd w:val="0"/>
        <w:snapToGrid w:val="0"/>
        <w:spacing w:line="560" w:lineRule="exact"/>
        <w:ind w:left="164"/>
        <w:rPr>
          <w:rFonts w:ascii="Arial Unicode MS" w:hAnsi="Arial Unicode MS" w:cs="宋体"/>
          <w:b/>
          <w:bCs/>
          <w:sz w:val="44"/>
          <w:szCs w:val="44"/>
        </w:rPr>
      </w:pPr>
    </w:p>
    <w:p w14:paraId="462F370A">
      <w:pPr>
        <w:adjustRightInd w:val="0"/>
        <w:snapToGrid w:val="0"/>
        <w:spacing w:line="560" w:lineRule="exact"/>
        <w:ind w:left="164"/>
        <w:jc w:val="center"/>
        <w:rPr>
          <w:rFonts w:hint="eastAsia" w:ascii="楷体" w:hAnsi="楷体" w:eastAsia="楷体" w:cs="楷体"/>
          <w:b/>
          <w:bCs/>
          <w:sz w:val="44"/>
          <w:szCs w:val="44"/>
        </w:rPr>
      </w:pPr>
      <w:r>
        <w:rPr>
          <w:rFonts w:hint="eastAsia" w:ascii="楷体" w:hAnsi="楷体" w:eastAsia="楷体" w:cs="楷体"/>
          <w:b/>
          <w:bCs/>
          <w:sz w:val="44"/>
          <w:szCs w:val="44"/>
        </w:rPr>
        <w:t>南方医科大学中西医结合医院</w:t>
      </w:r>
    </w:p>
    <w:p w14:paraId="1C5F4F28">
      <w:pPr>
        <w:adjustRightInd w:val="0"/>
        <w:snapToGrid w:val="0"/>
        <w:spacing w:line="560" w:lineRule="exact"/>
        <w:ind w:left="164"/>
        <w:jc w:val="center"/>
        <w:rPr>
          <w:rFonts w:hint="eastAsia" w:ascii="楷体" w:hAnsi="楷体" w:eastAsia="楷体" w:cs="楷体"/>
          <w:b/>
          <w:bCs/>
          <w:sz w:val="44"/>
          <w:szCs w:val="44"/>
        </w:rPr>
      </w:pPr>
      <w:r>
        <w:rPr>
          <w:rFonts w:hint="eastAsia" w:ascii="楷体" w:hAnsi="楷体" w:eastAsia="楷体" w:cs="楷体"/>
          <w:b/>
          <w:bCs/>
          <w:sz w:val="44"/>
          <w:szCs w:val="44"/>
        </w:rPr>
        <w:t>2026年</w:t>
      </w:r>
      <w:r>
        <w:rPr>
          <w:rFonts w:hint="eastAsia" w:ascii="楷体" w:hAnsi="楷体" w:eastAsia="楷体" w:cs="楷体"/>
          <w:b/>
          <w:bCs/>
          <w:sz w:val="44"/>
          <w:szCs w:val="44"/>
          <w:u w:val="single"/>
        </w:rPr>
        <w:t>9</w:t>
      </w:r>
      <w:r>
        <w:rPr>
          <w:rFonts w:hint="eastAsia" w:ascii="楷体" w:hAnsi="楷体" w:eastAsia="楷体" w:cs="楷体"/>
          <w:b/>
          <w:bCs/>
          <w:sz w:val="44"/>
          <w:szCs w:val="44"/>
        </w:rPr>
        <w:t>月</w:t>
      </w:r>
    </w:p>
    <w:p w14:paraId="0F6C60D0">
      <w:pPr>
        <w:pStyle w:val="13"/>
        <w:spacing w:line="560" w:lineRule="exact"/>
        <w:rPr>
          <w:rFonts w:ascii="Arial Unicode MS" w:hAnsi="Arial Unicode MS" w:eastAsia="宋体"/>
          <w:b/>
          <w:bCs/>
          <w:sz w:val="44"/>
          <w:szCs w:val="44"/>
        </w:rPr>
      </w:pPr>
      <w:r>
        <w:br w:type="page"/>
      </w:r>
      <w:bookmarkStart w:id="0" w:name="_Toc163812127"/>
      <w:r>
        <w:rPr>
          <w:rFonts w:ascii="Arial Unicode MS" w:hAnsi="Arial Unicode MS" w:eastAsia="宋体"/>
          <w:b/>
          <w:bCs/>
          <w:sz w:val="44"/>
          <w:szCs w:val="44"/>
          <w:lang w:val="zh-CN"/>
        </w:rPr>
        <w:t>目</w:t>
      </w:r>
      <w:r>
        <w:rPr>
          <w:rFonts w:hint="eastAsia" w:ascii="Arial Unicode MS" w:hAnsi="Arial Unicode MS" w:eastAsia="宋体"/>
          <w:b/>
          <w:bCs/>
          <w:sz w:val="44"/>
          <w:szCs w:val="44"/>
        </w:rPr>
        <w:t xml:space="preserve">  </w:t>
      </w:r>
      <w:r>
        <w:rPr>
          <w:rFonts w:ascii="Arial Unicode MS" w:hAnsi="Arial Unicode MS" w:eastAsia="宋体"/>
          <w:b/>
          <w:bCs/>
          <w:sz w:val="44"/>
          <w:szCs w:val="44"/>
          <w:lang w:val="zh-CN"/>
        </w:rPr>
        <w:t>录</w:t>
      </w:r>
      <w:bookmarkEnd w:id="0"/>
    </w:p>
    <w:p w14:paraId="4BCAD6A4">
      <w:pPr>
        <w:pStyle w:val="23"/>
        <w:tabs>
          <w:tab w:val="right" w:leader="dot" w:pos="9638"/>
          <w:tab w:val="clear" w:pos="9628"/>
        </w:tabs>
        <w:rPr>
          <w:rFonts w:hint="eastAsia"/>
        </w:rPr>
      </w:pPr>
      <w:r>
        <w:rPr>
          <w:rFonts w:ascii="Arial Unicode MS" w:hAnsi="Arial Unicode MS" w:eastAsia="宋体"/>
          <w:sz w:val="24"/>
        </w:rPr>
        <w:fldChar w:fldCharType="begin"/>
      </w:r>
      <w:r>
        <w:rPr>
          <w:rFonts w:ascii="Arial Unicode MS" w:hAnsi="Arial Unicode MS" w:eastAsia="宋体"/>
          <w:sz w:val="24"/>
        </w:rPr>
        <w:instrText xml:space="preserve"> TOC \o "1-3" \h \z \u </w:instrText>
      </w:r>
      <w:r>
        <w:rPr>
          <w:rFonts w:ascii="Arial Unicode MS" w:hAnsi="Arial Unicode MS" w:eastAsia="宋体"/>
          <w:sz w:val="24"/>
        </w:rPr>
        <w:fldChar w:fldCharType="separate"/>
      </w:r>
      <w:r>
        <w:fldChar w:fldCharType="begin"/>
      </w:r>
      <w:r>
        <w:instrText xml:space="preserve"> HYPERLINK \l "_Toc30177" </w:instrText>
      </w:r>
      <w:r>
        <w:fldChar w:fldCharType="separate"/>
      </w:r>
      <w:r>
        <w:rPr>
          <w:rFonts w:hint="eastAsia" w:ascii="方正小标宋简体" w:hAnsi="方正小标宋简体" w:eastAsia="方正小标宋简体" w:cs="方正小标宋简体"/>
          <w:szCs w:val="32"/>
        </w:rPr>
        <w:t>第一部分 公告</w:t>
      </w:r>
      <w:r>
        <w:tab/>
      </w:r>
      <w:r>
        <w:fldChar w:fldCharType="begin"/>
      </w:r>
      <w:r>
        <w:instrText xml:space="preserve"> PAGEREF _Toc30177 \h </w:instrText>
      </w:r>
      <w:r>
        <w:rPr>
          <w:rFonts w:hint="eastAsia"/>
        </w:rPr>
        <w:fldChar w:fldCharType="separate"/>
      </w:r>
      <w:r>
        <w:t>1</w:t>
      </w:r>
      <w:r>
        <w:fldChar w:fldCharType="end"/>
      </w:r>
      <w:r>
        <w:fldChar w:fldCharType="end"/>
      </w:r>
    </w:p>
    <w:p w14:paraId="3F992B91">
      <w:pPr>
        <w:pStyle w:val="23"/>
        <w:rPr>
          <w:rFonts w:hint="eastAsia"/>
        </w:rPr>
      </w:pPr>
      <w:r>
        <w:fldChar w:fldCharType="begin"/>
      </w:r>
      <w:r>
        <w:instrText xml:space="preserve"> HYPERLINK \l "_Toc2339" </w:instrText>
      </w:r>
      <w:r>
        <w:fldChar w:fldCharType="separate"/>
      </w:r>
      <w:r>
        <w:rPr>
          <w:rFonts w:hint="eastAsia" w:ascii="方正小标宋简体" w:hAnsi="方正小标宋简体" w:eastAsia="方正小标宋简体" w:cs="方正小标宋简体"/>
          <w:szCs w:val="32"/>
        </w:rPr>
        <w:t>用户需求书</w:t>
      </w:r>
      <w:r>
        <w:tab/>
      </w:r>
      <w:r>
        <w:fldChar w:fldCharType="begin"/>
      </w:r>
      <w:r>
        <w:instrText xml:space="preserve"> PAGEREF _Toc2339 \h </w:instrText>
      </w:r>
      <w:r>
        <w:rPr>
          <w:rFonts w:hint="eastAsia"/>
        </w:rPr>
        <w:fldChar w:fldCharType="separate"/>
      </w:r>
      <w:r>
        <w:t>2</w:t>
      </w:r>
      <w:r>
        <w:fldChar w:fldCharType="end"/>
      </w:r>
      <w:r>
        <w:fldChar w:fldCharType="end"/>
      </w:r>
    </w:p>
    <w:p w14:paraId="72293948">
      <w:pPr>
        <w:pStyle w:val="23"/>
        <w:tabs>
          <w:tab w:val="right" w:leader="dot" w:pos="9638"/>
          <w:tab w:val="clear" w:pos="9628"/>
        </w:tabs>
        <w:rPr>
          <w:rFonts w:hint="eastAsia"/>
        </w:rPr>
      </w:pPr>
      <w:r>
        <w:fldChar w:fldCharType="begin"/>
      </w:r>
      <w:r>
        <w:instrText xml:space="preserve"> HYPERLINK \l "_Toc5861" </w:instrText>
      </w:r>
      <w:r>
        <w:fldChar w:fldCharType="separate"/>
      </w:r>
      <w:r>
        <w:rPr>
          <w:rFonts w:hint="eastAsia" w:ascii="方正小标宋简体" w:hAnsi="方正小标宋简体" w:eastAsia="方正小标宋简体" w:cs="方正小标宋简体"/>
          <w:szCs w:val="32"/>
        </w:rPr>
        <w:t>第二部分 参选须知</w:t>
      </w:r>
      <w:r>
        <w:tab/>
      </w:r>
      <w:r>
        <w:fldChar w:fldCharType="begin"/>
      </w:r>
      <w:r>
        <w:instrText xml:space="preserve"> PAGEREF _Toc5861 \h </w:instrText>
      </w:r>
      <w:r>
        <w:rPr>
          <w:rFonts w:hint="eastAsia"/>
        </w:rPr>
        <w:fldChar w:fldCharType="separate"/>
      </w:r>
      <w:r>
        <w:t>6</w:t>
      </w:r>
      <w:r>
        <w:fldChar w:fldCharType="end"/>
      </w:r>
      <w:r>
        <w:fldChar w:fldCharType="end"/>
      </w:r>
    </w:p>
    <w:p w14:paraId="328776AB">
      <w:pPr>
        <w:pStyle w:val="25"/>
        <w:tabs>
          <w:tab w:val="right" w:leader="dot" w:pos="9638"/>
        </w:tabs>
        <w:rPr>
          <w:rFonts w:hint="eastAsia"/>
        </w:rPr>
      </w:pPr>
      <w:r>
        <w:fldChar w:fldCharType="begin"/>
      </w:r>
      <w:r>
        <w:instrText xml:space="preserve"> HYPERLINK \l "_Toc15689" </w:instrText>
      </w:r>
      <w:r>
        <w:fldChar w:fldCharType="separate"/>
      </w:r>
      <w:r>
        <w:rPr>
          <w:rFonts w:hint="eastAsia" w:ascii="黑体" w:hAnsi="黑体" w:eastAsia="黑体" w:cs="黑体"/>
          <w:bCs/>
          <w:szCs w:val="28"/>
        </w:rPr>
        <w:t>A 说明</w:t>
      </w:r>
      <w:r>
        <w:tab/>
      </w:r>
      <w:r>
        <w:fldChar w:fldCharType="begin"/>
      </w:r>
      <w:r>
        <w:instrText xml:space="preserve"> PAGEREF _Toc15689 \h </w:instrText>
      </w:r>
      <w:r>
        <w:rPr>
          <w:rFonts w:hint="eastAsia"/>
        </w:rPr>
        <w:fldChar w:fldCharType="separate"/>
      </w:r>
      <w:r>
        <w:t>6</w:t>
      </w:r>
      <w:r>
        <w:fldChar w:fldCharType="end"/>
      </w:r>
      <w:r>
        <w:fldChar w:fldCharType="end"/>
      </w:r>
    </w:p>
    <w:p w14:paraId="11E04D2C">
      <w:pPr>
        <w:pStyle w:val="15"/>
        <w:tabs>
          <w:tab w:val="right" w:leader="dot" w:pos="9638"/>
        </w:tabs>
        <w:rPr>
          <w:rFonts w:hint="eastAsia"/>
        </w:rPr>
      </w:pPr>
      <w:r>
        <w:fldChar w:fldCharType="begin"/>
      </w:r>
      <w:r>
        <w:instrText xml:space="preserve"> HYPERLINK \l "_Toc12597" </w:instrText>
      </w:r>
      <w:r>
        <w:fldChar w:fldCharType="separate"/>
      </w:r>
      <w:r>
        <w:rPr>
          <w:rFonts w:hint="eastAsia" w:ascii="仿宋_GB2312" w:hAnsi="仿宋_GB2312" w:eastAsia="仿宋_GB2312" w:cs="仿宋_GB2312"/>
          <w:bCs/>
        </w:rPr>
        <w:t>1. 适用范围</w:t>
      </w:r>
      <w:r>
        <w:tab/>
      </w:r>
      <w:r>
        <w:fldChar w:fldCharType="begin"/>
      </w:r>
      <w:r>
        <w:instrText xml:space="preserve"> PAGEREF _Toc12597 \h </w:instrText>
      </w:r>
      <w:r>
        <w:rPr>
          <w:rFonts w:hint="eastAsia"/>
        </w:rPr>
        <w:fldChar w:fldCharType="separate"/>
      </w:r>
      <w:r>
        <w:t>6</w:t>
      </w:r>
      <w:r>
        <w:fldChar w:fldCharType="end"/>
      </w:r>
      <w:r>
        <w:fldChar w:fldCharType="end"/>
      </w:r>
    </w:p>
    <w:p w14:paraId="64FD5CA9">
      <w:pPr>
        <w:pStyle w:val="15"/>
        <w:tabs>
          <w:tab w:val="right" w:leader="dot" w:pos="9638"/>
        </w:tabs>
        <w:rPr>
          <w:rFonts w:hint="eastAsia"/>
        </w:rPr>
      </w:pPr>
      <w:r>
        <w:fldChar w:fldCharType="begin"/>
      </w:r>
      <w:r>
        <w:instrText xml:space="preserve"> HYPERLINK \l "_Toc2712" </w:instrText>
      </w:r>
      <w:r>
        <w:fldChar w:fldCharType="separate"/>
      </w:r>
      <w:r>
        <w:rPr>
          <w:rFonts w:hint="eastAsia" w:ascii="仿宋_GB2312" w:hAnsi="仿宋_GB2312" w:eastAsia="仿宋_GB2312" w:cs="仿宋_GB2312"/>
          <w:bCs/>
        </w:rPr>
        <w:t>2. 定义</w:t>
      </w:r>
      <w:r>
        <w:tab/>
      </w:r>
      <w:r>
        <w:fldChar w:fldCharType="begin"/>
      </w:r>
      <w:r>
        <w:instrText xml:space="preserve"> PAGEREF _Toc2712 \h </w:instrText>
      </w:r>
      <w:r>
        <w:rPr>
          <w:rFonts w:hint="eastAsia"/>
        </w:rPr>
        <w:fldChar w:fldCharType="separate"/>
      </w:r>
      <w:r>
        <w:t>6</w:t>
      </w:r>
      <w:r>
        <w:fldChar w:fldCharType="end"/>
      </w:r>
      <w:r>
        <w:fldChar w:fldCharType="end"/>
      </w:r>
    </w:p>
    <w:p w14:paraId="66D8AAC4">
      <w:pPr>
        <w:pStyle w:val="15"/>
        <w:tabs>
          <w:tab w:val="right" w:leader="dot" w:pos="9638"/>
        </w:tabs>
        <w:rPr>
          <w:rFonts w:hint="eastAsia"/>
        </w:rPr>
      </w:pPr>
      <w:r>
        <w:fldChar w:fldCharType="begin"/>
      </w:r>
      <w:r>
        <w:instrText xml:space="preserve"> HYPERLINK \l "_Toc24486" </w:instrText>
      </w:r>
      <w:r>
        <w:fldChar w:fldCharType="separate"/>
      </w:r>
      <w:r>
        <w:rPr>
          <w:rFonts w:hint="eastAsia" w:ascii="仿宋_GB2312" w:hAnsi="仿宋_GB2312" w:eastAsia="仿宋_GB2312" w:cs="仿宋_GB2312"/>
          <w:bCs/>
        </w:rPr>
        <w:t>3．合格的供应商</w:t>
      </w:r>
      <w:r>
        <w:tab/>
      </w:r>
      <w:r>
        <w:fldChar w:fldCharType="begin"/>
      </w:r>
      <w:r>
        <w:instrText xml:space="preserve"> PAGEREF _Toc24486 \h </w:instrText>
      </w:r>
      <w:r>
        <w:rPr>
          <w:rFonts w:hint="eastAsia"/>
        </w:rPr>
        <w:fldChar w:fldCharType="separate"/>
      </w:r>
      <w:r>
        <w:t>6</w:t>
      </w:r>
      <w:r>
        <w:fldChar w:fldCharType="end"/>
      </w:r>
      <w:r>
        <w:fldChar w:fldCharType="end"/>
      </w:r>
    </w:p>
    <w:p w14:paraId="211C0635">
      <w:pPr>
        <w:pStyle w:val="15"/>
        <w:tabs>
          <w:tab w:val="right" w:leader="dot" w:pos="9638"/>
        </w:tabs>
        <w:rPr>
          <w:rFonts w:hint="eastAsia"/>
        </w:rPr>
      </w:pPr>
      <w:r>
        <w:fldChar w:fldCharType="begin"/>
      </w:r>
      <w:r>
        <w:instrText xml:space="preserve"> HYPERLINK \l "_Toc31433" </w:instrText>
      </w:r>
      <w:r>
        <w:fldChar w:fldCharType="separate"/>
      </w:r>
      <w:r>
        <w:rPr>
          <w:rFonts w:hint="eastAsia" w:ascii="仿宋_GB2312" w:hAnsi="仿宋_GB2312" w:eastAsia="仿宋_GB2312" w:cs="仿宋_GB2312"/>
          <w:bCs/>
        </w:rPr>
        <w:t>4．参选费用</w:t>
      </w:r>
      <w:r>
        <w:tab/>
      </w:r>
      <w:r>
        <w:fldChar w:fldCharType="begin"/>
      </w:r>
      <w:r>
        <w:instrText xml:space="preserve"> PAGEREF _Toc31433 \h </w:instrText>
      </w:r>
      <w:r>
        <w:rPr>
          <w:rFonts w:hint="eastAsia"/>
        </w:rPr>
        <w:fldChar w:fldCharType="separate"/>
      </w:r>
      <w:r>
        <w:t>6</w:t>
      </w:r>
      <w:r>
        <w:fldChar w:fldCharType="end"/>
      </w:r>
      <w:r>
        <w:fldChar w:fldCharType="end"/>
      </w:r>
    </w:p>
    <w:p w14:paraId="4B26F366">
      <w:pPr>
        <w:pStyle w:val="25"/>
        <w:tabs>
          <w:tab w:val="right" w:leader="dot" w:pos="9638"/>
        </w:tabs>
        <w:rPr>
          <w:rFonts w:hint="eastAsia"/>
        </w:rPr>
      </w:pPr>
      <w:r>
        <w:fldChar w:fldCharType="begin"/>
      </w:r>
      <w:r>
        <w:instrText xml:space="preserve"> HYPERLINK \l "_Toc24749" </w:instrText>
      </w:r>
      <w:r>
        <w:fldChar w:fldCharType="separate"/>
      </w:r>
      <w:r>
        <w:rPr>
          <w:rFonts w:hint="eastAsia" w:ascii="黑体" w:hAnsi="黑体" w:eastAsia="黑体" w:cs="黑体"/>
          <w:bCs/>
          <w:szCs w:val="28"/>
        </w:rPr>
        <w:t>B 竞磋文件</w:t>
      </w:r>
      <w:r>
        <w:tab/>
      </w:r>
      <w:r>
        <w:fldChar w:fldCharType="begin"/>
      </w:r>
      <w:r>
        <w:instrText xml:space="preserve"> PAGEREF _Toc24749 \h </w:instrText>
      </w:r>
      <w:r>
        <w:rPr>
          <w:rFonts w:hint="eastAsia"/>
        </w:rPr>
        <w:fldChar w:fldCharType="separate"/>
      </w:r>
      <w:r>
        <w:t>6</w:t>
      </w:r>
      <w:r>
        <w:fldChar w:fldCharType="end"/>
      </w:r>
      <w:r>
        <w:fldChar w:fldCharType="end"/>
      </w:r>
    </w:p>
    <w:p w14:paraId="30546938">
      <w:pPr>
        <w:pStyle w:val="15"/>
        <w:tabs>
          <w:tab w:val="right" w:leader="dot" w:pos="9638"/>
        </w:tabs>
        <w:rPr>
          <w:rFonts w:hint="eastAsia"/>
        </w:rPr>
      </w:pPr>
      <w:r>
        <w:fldChar w:fldCharType="begin"/>
      </w:r>
      <w:r>
        <w:instrText xml:space="preserve"> HYPERLINK \l "_Toc13963" </w:instrText>
      </w:r>
      <w:r>
        <w:fldChar w:fldCharType="separate"/>
      </w:r>
      <w:r>
        <w:rPr>
          <w:rFonts w:hint="eastAsia" w:ascii="仿宋_GB2312" w:hAnsi="仿宋_GB2312" w:eastAsia="仿宋_GB2312" w:cs="仿宋_GB2312"/>
          <w:bCs/>
        </w:rPr>
        <w:t>5.竞磋文件构成</w:t>
      </w:r>
      <w:r>
        <w:tab/>
      </w:r>
      <w:r>
        <w:fldChar w:fldCharType="begin"/>
      </w:r>
      <w:r>
        <w:instrText xml:space="preserve"> PAGEREF _Toc13963 \h </w:instrText>
      </w:r>
      <w:r>
        <w:rPr>
          <w:rFonts w:hint="eastAsia"/>
        </w:rPr>
        <w:fldChar w:fldCharType="separate"/>
      </w:r>
      <w:r>
        <w:t>6</w:t>
      </w:r>
      <w:r>
        <w:fldChar w:fldCharType="end"/>
      </w:r>
      <w:r>
        <w:fldChar w:fldCharType="end"/>
      </w:r>
    </w:p>
    <w:p w14:paraId="31556907">
      <w:pPr>
        <w:pStyle w:val="15"/>
        <w:tabs>
          <w:tab w:val="right" w:leader="dot" w:pos="9638"/>
        </w:tabs>
        <w:rPr>
          <w:rFonts w:hint="eastAsia"/>
        </w:rPr>
      </w:pPr>
      <w:r>
        <w:fldChar w:fldCharType="begin"/>
      </w:r>
      <w:r>
        <w:instrText xml:space="preserve"> HYPERLINK \l "_Toc22019" </w:instrText>
      </w:r>
      <w:r>
        <w:fldChar w:fldCharType="separate"/>
      </w:r>
      <w:r>
        <w:rPr>
          <w:rFonts w:hint="eastAsia" w:ascii="仿宋_GB2312" w:hAnsi="仿宋_GB2312" w:eastAsia="仿宋_GB2312" w:cs="仿宋_GB2312"/>
          <w:bCs/>
        </w:rPr>
        <w:t>6．竞磋文件的澄清与修改</w:t>
      </w:r>
      <w:r>
        <w:tab/>
      </w:r>
      <w:r>
        <w:fldChar w:fldCharType="begin"/>
      </w:r>
      <w:r>
        <w:instrText xml:space="preserve"> PAGEREF _Toc22019 \h </w:instrText>
      </w:r>
      <w:r>
        <w:rPr>
          <w:rFonts w:hint="eastAsia"/>
        </w:rPr>
        <w:fldChar w:fldCharType="separate"/>
      </w:r>
      <w:r>
        <w:t>7</w:t>
      </w:r>
      <w:r>
        <w:fldChar w:fldCharType="end"/>
      </w:r>
      <w:r>
        <w:fldChar w:fldCharType="end"/>
      </w:r>
    </w:p>
    <w:p w14:paraId="34AB09A9">
      <w:pPr>
        <w:pStyle w:val="25"/>
        <w:tabs>
          <w:tab w:val="right" w:leader="dot" w:pos="9638"/>
        </w:tabs>
        <w:rPr>
          <w:rFonts w:hint="eastAsia"/>
        </w:rPr>
      </w:pPr>
      <w:r>
        <w:fldChar w:fldCharType="begin"/>
      </w:r>
      <w:r>
        <w:instrText xml:space="preserve"> HYPERLINK \l "_Toc11606" </w:instrText>
      </w:r>
      <w:r>
        <w:fldChar w:fldCharType="separate"/>
      </w:r>
      <w:r>
        <w:rPr>
          <w:rFonts w:hint="eastAsia" w:ascii="黑体" w:hAnsi="黑体" w:eastAsia="黑体" w:cs="黑体"/>
          <w:bCs/>
          <w:szCs w:val="28"/>
        </w:rPr>
        <w:t>C 参选文件的编写</w:t>
      </w:r>
      <w:r>
        <w:tab/>
      </w:r>
      <w:r>
        <w:fldChar w:fldCharType="begin"/>
      </w:r>
      <w:r>
        <w:instrText xml:space="preserve"> PAGEREF _Toc11606 \h </w:instrText>
      </w:r>
      <w:r>
        <w:rPr>
          <w:rFonts w:hint="eastAsia"/>
        </w:rPr>
        <w:fldChar w:fldCharType="separate"/>
      </w:r>
      <w:r>
        <w:t>7</w:t>
      </w:r>
      <w:r>
        <w:fldChar w:fldCharType="end"/>
      </w:r>
      <w:r>
        <w:fldChar w:fldCharType="end"/>
      </w:r>
    </w:p>
    <w:p w14:paraId="209E6340">
      <w:pPr>
        <w:pStyle w:val="15"/>
        <w:tabs>
          <w:tab w:val="right" w:leader="dot" w:pos="9638"/>
        </w:tabs>
        <w:rPr>
          <w:rFonts w:hint="eastAsia"/>
        </w:rPr>
      </w:pPr>
      <w:r>
        <w:fldChar w:fldCharType="begin"/>
      </w:r>
      <w:r>
        <w:instrText xml:space="preserve"> HYPERLINK \l "_Toc31579" </w:instrText>
      </w:r>
      <w:r>
        <w:fldChar w:fldCharType="separate"/>
      </w:r>
      <w:r>
        <w:rPr>
          <w:rFonts w:hint="eastAsia" w:ascii="仿宋_GB2312" w:hAnsi="仿宋_GB2312" w:eastAsia="仿宋_GB2312" w:cs="仿宋_GB2312"/>
          <w:bCs/>
        </w:rPr>
        <w:t>7．参选文件的编写要求</w:t>
      </w:r>
      <w:r>
        <w:tab/>
      </w:r>
      <w:r>
        <w:fldChar w:fldCharType="begin"/>
      </w:r>
      <w:r>
        <w:instrText xml:space="preserve"> PAGEREF _Toc31579 \h </w:instrText>
      </w:r>
      <w:r>
        <w:rPr>
          <w:rFonts w:hint="eastAsia"/>
        </w:rPr>
        <w:fldChar w:fldCharType="separate"/>
      </w:r>
      <w:r>
        <w:t>7</w:t>
      </w:r>
      <w:r>
        <w:fldChar w:fldCharType="end"/>
      </w:r>
      <w:r>
        <w:fldChar w:fldCharType="end"/>
      </w:r>
    </w:p>
    <w:p w14:paraId="77525355">
      <w:pPr>
        <w:pStyle w:val="15"/>
        <w:tabs>
          <w:tab w:val="right" w:leader="dot" w:pos="9638"/>
        </w:tabs>
        <w:rPr>
          <w:rFonts w:hint="eastAsia"/>
        </w:rPr>
      </w:pPr>
      <w:r>
        <w:fldChar w:fldCharType="begin"/>
      </w:r>
      <w:r>
        <w:instrText xml:space="preserve"> HYPERLINK \l "_Toc30148" </w:instrText>
      </w:r>
      <w:r>
        <w:fldChar w:fldCharType="separate"/>
      </w:r>
      <w:r>
        <w:rPr>
          <w:rFonts w:hint="eastAsia" w:ascii="仿宋_GB2312" w:hAnsi="仿宋_GB2312" w:eastAsia="仿宋_GB2312" w:cs="仿宋_GB2312"/>
          <w:bCs/>
        </w:rPr>
        <w:t>8．参选文件的组成</w:t>
      </w:r>
      <w:r>
        <w:tab/>
      </w:r>
      <w:r>
        <w:fldChar w:fldCharType="begin"/>
      </w:r>
      <w:r>
        <w:instrText xml:space="preserve"> PAGEREF _Toc30148 \h </w:instrText>
      </w:r>
      <w:r>
        <w:rPr>
          <w:rFonts w:hint="eastAsia"/>
        </w:rPr>
        <w:fldChar w:fldCharType="separate"/>
      </w:r>
      <w:r>
        <w:t>8</w:t>
      </w:r>
      <w:r>
        <w:fldChar w:fldCharType="end"/>
      </w:r>
      <w:r>
        <w:fldChar w:fldCharType="end"/>
      </w:r>
    </w:p>
    <w:p w14:paraId="2C53CFDA">
      <w:pPr>
        <w:pStyle w:val="15"/>
        <w:tabs>
          <w:tab w:val="right" w:leader="dot" w:pos="9638"/>
        </w:tabs>
        <w:rPr>
          <w:rFonts w:hint="eastAsia"/>
        </w:rPr>
      </w:pPr>
      <w:r>
        <w:fldChar w:fldCharType="begin"/>
      </w:r>
      <w:r>
        <w:instrText xml:space="preserve"> HYPERLINK \l "_Toc30673" </w:instrText>
      </w:r>
      <w:r>
        <w:fldChar w:fldCharType="separate"/>
      </w:r>
      <w:r>
        <w:rPr>
          <w:rFonts w:hint="eastAsia" w:ascii="仿宋_GB2312" w:hAnsi="仿宋_GB2312" w:eastAsia="仿宋_GB2312" w:cs="仿宋_GB2312"/>
          <w:bCs/>
        </w:rPr>
        <w:t>9．参选文件格式</w:t>
      </w:r>
      <w:r>
        <w:tab/>
      </w:r>
      <w:r>
        <w:fldChar w:fldCharType="begin"/>
      </w:r>
      <w:r>
        <w:instrText xml:space="preserve"> PAGEREF _Toc30673 \h </w:instrText>
      </w:r>
      <w:r>
        <w:rPr>
          <w:rFonts w:hint="eastAsia"/>
        </w:rPr>
        <w:fldChar w:fldCharType="separate"/>
      </w:r>
      <w:r>
        <w:t>8</w:t>
      </w:r>
      <w:r>
        <w:fldChar w:fldCharType="end"/>
      </w:r>
      <w:r>
        <w:fldChar w:fldCharType="end"/>
      </w:r>
    </w:p>
    <w:p w14:paraId="2659AE4C">
      <w:pPr>
        <w:pStyle w:val="15"/>
        <w:tabs>
          <w:tab w:val="right" w:leader="dot" w:pos="9638"/>
        </w:tabs>
        <w:rPr>
          <w:rFonts w:hint="eastAsia"/>
        </w:rPr>
      </w:pPr>
      <w:r>
        <w:fldChar w:fldCharType="begin"/>
      </w:r>
      <w:r>
        <w:instrText xml:space="preserve"> HYPERLINK \l "_Toc448" </w:instrText>
      </w:r>
      <w:r>
        <w:fldChar w:fldCharType="separate"/>
      </w:r>
      <w:r>
        <w:rPr>
          <w:rFonts w:hint="eastAsia" w:ascii="仿宋_GB2312" w:hAnsi="仿宋_GB2312" w:eastAsia="仿宋_GB2312" w:cs="仿宋_GB2312"/>
          <w:bCs/>
        </w:rPr>
        <w:t>10．招标采购代理服务费收取标准</w:t>
      </w:r>
      <w:r>
        <w:tab/>
      </w:r>
      <w:r>
        <w:fldChar w:fldCharType="begin"/>
      </w:r>
      <w:r>
        <w:instrText xml:space="preserve"> PAGEREF _Toc448 \h </w:instrText>
      </w:r>
      <w:r>
        <w:rPr>
          <w:rFonts w:hint="eastAsia"/>
        </w:rPr>
        <w:fldChar w:fldCharType="separate"/>
      </w:r>
      <w:r>
        <w:t>9</w:t>
      </w:r>
      <w:r>
        <w:fldChar w:fldCharType="end"/>
      </w:r>
      <w:r>
        <w:fldChar w:fldCharType="end"/>
      </w:r>
    </w:p>
    <w:p w14:paraId="598053C1">
      <w:pPr>
        <w:pStyle w:val="15"/>
        <w:tabs>
          <w:tab w:val="right" w:leader="dot" w:pos="9638"/>
        </w:tabs>
        <w:rPr>
          <w:rFonts w:hint="eastAsia"/>
        </w:rPr>
      </w:pPr>
      <w:r>
        <w:fldChar w:fldCharType="begin"/>
      </w:r>
      <w:r>
        <w:instrText xml:space="preserve"> HYPERLINK \l "_Toc18399" </w:instrText>
      </w:r>
      <w:r>
        <w:fldChar w:fldCharType="separate"/>
      </w:r>
      <w:r>
        <w:rPr>
          <w:rFonts w:hint="eastAsia" w:ascii="仿宋_GB2312" w:hAnsi="仿宋_GB2312" w:eastAsia="仿宋_GB2312" w:cs="仿宋_GB2312"/>
          <w:bCs/>
        </w:rPr>
        <w:t>11．供应商资格证明的文件</w:t>
      </w:r>
      <w:r>
        <w:tab/>
      </w:r>
      <w:r>
        <w:fldChar w:fldCharType="begin"/>
      </w:r>
      <w:r>
        <w:instrText xml:space="preserve"> PAGEREF _Toc18399 \h </w:instrText>
      </w:r>
      <w:r>
        <w:rPr>
          <w:rFonts w:hint="eastAsia"/>
        </w:rPr>
        <w:fldChar w:fldCharType="separate"/>
      </w:r>
      <w:r>
        <w:t>9</w:t>
      </w:r>
      <w:r>
        <w:fldChar w:fldCharType="end"/>
      </w:r>
      <w:r>
        <w:fldChar w:fldCharType="end"/>
      </w:r>
    </w:p>
    <w:p w14:paraId="2B19EB28">
      <w:pPr>
        <w:pStyle w:val="15"/>
        <w:tabs>
          <w:tab w:val="right" w:leader="dot" w:pos="9638"/>
        </w:tabs>
        <w:rPr>
          <w:rFonts w:hint="eastAsia"/>
        </w:rPr>
      </w:pPr>
      <w:r>
        <w:fldChar w:fldCharType="begin"/>
      </w:r>
      <w:r>
        <w:instrText xml:space="preserve"> HYPERLINK \l "_Toc19763" </w:instrText>
      </w:r>
      <w:r>
        <w:fldChar w:fldCharType="separate"/>
      </w:r>
      <w:r>
        <w:rPr>
          <w:rFonts w:hint="eastAsia" w:ascii="仿宋_GB2312" w:hAnsi="仿宋_GB2312" w:eastAsia="仿宋_GB2312" w:cs="仿宋_GB2312"/>
          <w:bCs/>
        </w:rPr>
        <w:t>12．参选文件有效期</w:t>
      </w:r>
      <w:r>
        <w:tab/>
      </w:r>
      <w:r>
        <w:fldChar w:fldCharType="begin"/>
      </w:r>
      <w:r>
        <w:instrText xml:space="preserve"> PAGEREF _Toc19763 \h </w:instrText>
      </w:r>
      <w:r>
        <w:rPr>
          <w:rFonts w:hint="eastAsia"/>
        </w:rPr>
        <w:fldChar w:fldCharType="separate"/>
      </w:r>
      <w:r>
        <w:t>9</w:t>
      </w:r>
      <w:r>
        <w:fldChar w:fldCharType="end"/>
      </w:r>
      <w:r>
        <w:fldChar w:fldCharType="end"/>
      </w:r>
    </w:p>
    <w:p w14:paraId="1C5F216B">
      <w:pPr>
        <w:pStyle w:val="15"/>
        <w:tabs>
          <w:tab w:val="right" w:leader="dot" w:pos="9638"/>
        </w:tabs>
        <w:rPr>
          <w:rFonts w:hint="eastAsia"/>
        </w:rPr>
      </w:pPr>
      <w:r>
        <w:fldChar w:fldCharType="begin"/>
      </w:r>
      <w:r>
        <w:instrText xml:space="preserve"> HYPERLINK \l "_Toc27600" </w:instrText>
      </w:r>
      <w:r>
        <w:fldChar w:fldCharType="separate"/>
      </w:r>
      <w:r>
        <w:rPr>
          <w:rFonts w:hint="eastAsia" w:ascii="仿宋_GB2312" w:hAnsi="仿宋_GB2312" w:eastAsia="仿宋_GB2312" w:cs="仿宋_GB2312"/>
          <w:bCs/>
        </w:rPr>
        <w:t>13．参选文件的签署及规定</w:t>
      </w:r>
      <w:r>
        <w:tab/>
      </w:r>
      <w:r>
        <w:fldChar w:fldCharType="begin"/>
      </w:r>
      <w:r>
        <w:instrText xml:space="preserve"> PAGEREF _Toc27600 \h </w:instrText>
      </w:r>
      <w:r>
        <w:rPr>
          <w:rFonts w:hint="eastAsia"/>
        </w:rPr>
        <w:fldChar w:fldCharType="separate"/>
      </w:r>
      <w:r>
        <w:t>9</w:t>
      </w:r>
      <w:r>
        <w:fldChar w:fldCharType="end"/>
      </w:r>
      <w:r>
        <w:fldChar w:fldCharType="end"/>
      </w:r>
    </w:p>
    <w:p w14:paraId="0891CF14">
      <w:pPr>
        <w:pStyle w:val="25"/>
        <w:tabs>
          <w:tab w:val="right" w:leader="dot" w:pos="9638"/>
        </w:tabs>
        <w:rPr>
          <w:rFonts w:hint="eastAsia"/>
        </w:rPr>
      </w:pPr>
      <w:r>
        <w:fldChar w:fldCharType="begin"/>
      </w:r>
      <w:r>
        <w:instrText xml:space="preserve"> HYPERLINK \l "_Toc8984" </w:instrText>
      </w:r>
      <w:r>
        <w:fldChar w:fldCharType="separate"/>
      </w:r>
      <w:r>
        <w:rPr>
          <w:rFonts w:hint="eastAsia" w:ascii="黑体" w:hAnsi="黑体" w:eastAsia="黑体" w:cs="黑体"/>
          <w:bCs/>
          <w:szCs w:val="28"/>
        </w:rPr>
        <w:t>D  参选文件的递交</w:t>
      </w:r>
      <w:r>
        <w:tab/>
      </w:r>
      <w:r>
        <w:fldChar w:fldCharType="begin"/>
      </w:r>
      <w:r>
        <w:instrText xml:space="preserve"> PAGEREF _Toc8984 \h </w:instrText>
      </w:r>
      <w:r>
        <w:rPr>
          <w:rFonts w:hint="eastAsia"/>
        </w:rPr>
        <w:fldChar w:fldCharType="separate"/>
      </w:r>
      <w:r>
        <w:t>9</w:t>
      </w:r>
      <w:r>
        <w:fldChar w:fldCharType="end"/>
      </w:r>
      <w:r>
        <w:fldChar w:fldCharType="end"/>
      </w:r>
    </w:p>
    <w:p w14:paraId="5CC1F77F">
      <w:pPr>
        <w:pStyle w:val="15"/>
        <w:tabs>
          <w:tab w:val="right" w:leader="dot" w:pos="9638"/>
        </w:tabs>
        <w:rPr>
          <w:rFonts w:hint="eastAsia"/>
        </w:rPr>
      </w:pPr>
      <w:r>
        <w:fldChar w:fldCharType="begin"/>
      </w:r>
      <w:r>
        <w:instrText xml:space="preserve"> HYPERLINK \l "_Toc10005" </w:instrText>
      </w:r>
      <w:r>
        <w:fldChar w:fldCharType="separate"/>
      </w:r>
      <w:r>
        <w:rPr>
          <w:rFonts w:hint="eastAsia" w:ascii="仿宋_GB2312" w:hAnsi="仿宋_GB2312" w:eastAsia="仿宋_GB2312" w:cs="仿宋_GB2312"/>
          <w:bCs/>
        </w:rPr>
        <w:t>14．参选文件的密封和标记</w:t>
      </w:r>
      <w:r>
        <w:tab/>
      </w:r>
      <w:r>
        <w:fldChar w:fldCharType="begin"/>
      </w:r>
      <w:r>
        <w:instrText xml:space="preserve"> PAGEREF _Toc10005 \h </w:instrText>
      </w:r>
      <w:r>
        <w:rPr>
          <w:rFonts w:hint="eastAsia"/>
        </w:rPr>
        <w:fldChar w:fldCharType="separate"/>
      </w:r>
      <w:r>
        <w:t>9</w:t>
      </w:r>
      <w:r>
        <w:fldChar w:fldCharType="end"/>
      </w:r>
      <w:r>
        <w:fldChar w:fldCharType="end"/>
      </w:r>
    </w:p>
    <w:p w14:paraId="1840BD0C">
      <w:pPr>
        <w:pStyle w:val="15"/>
        <w:tabs>
          <w:tab w:val="right" w:leader="dot" w:pos="9638"/>
        </w:tabs>
        <w:rPr>
          <w:rFonts w:hint="eastAsia"/>
        </w:rPr>
      </w:pPr>
      <w:r>
        <w:fldChar w:fldCharType="begin"/>
      </w:r>
      <w:r>
        <w:instrText xml:space="preserve"> HYPERLINK \l "_Toc13333" </w:instrText>
      </w:r>
      <w:r>
        <w:fldChar w:fldCharType="separate"/>
      </w:r>
      <w:r>
        <w:rPr>
          <w:rFonts w:hint="eastAsia" w:ascii="仿宋_GB2312" w:hAnsi="仿宋_GB2312" w:eastAsia="仿宋_GB2312" w:cs="仿宋_GB2312"/>
          <w:bCs/>
        </w:rPr>
        <w:t>15．参选文件递交的截止时间</w:t>
      </w:r>
      <w:r>
        <w:tab/>
      </w:r>
      <w:r>
        <w:fldChar w:fldCharType="begin"/>
      </w:r>
      <w:r>
        <w:instrText xml:space="preserve"> PAGEREF _Toc13333 \h </w:instrText>
      </w:r>
      <w:r>
        <w:rPr>
          <w:rFonts w:hint="eastAsia"/>
        </w:rPr>
        <w:fldChar w:fldCharType="separate"/>
      </w:r>
      <w:r>
        <w:t>10</w:t>
      </w:r>
      <w:r>
        <w:fldChar w:fldCharType="end"/>
      </w:r>
      <w:r>
        <w:fldChar w:fldCharType="end"/>
      </w:r>
    </w:p>
    <w:p w14:paraId="06A13D25">
      <w:pPr>
        <w:pStyle w:val="15"/>
        <w:tabs>
          <w:tab w:val="right" w:leader="dot" w:pos="9638"/>
        </w:tabs>
        <w:rPr>
          <w:rFonts w:hint="eastAsia"/>
        </w:rPr>
      </w:pPr>
      <w:r>
        <w:fldChar w:fldCharType="begin"/>
      </w:r>
      <w:r>
        <w:instrText xml:space="preserve"> HYPERLINK \l "_Toc16094" </w:instrText>
      </w:r>
      <w:r>
        <w:fldChar w:fldCharType="separate"/>
      </w:r>
      <w:r>
        <w:rPr>
          <w:rFonts w:hint="eastAsia" w:ascii="仿宋_GB2312" w:hAnsi="仿宋_GB2312" w:eastAsia="仿宋_GB2312" w:cs="仿宋_GB2312"/>
          <w:bCs/>
        </w:rPr>
        <w:t>16．迟交的参选文件</w:t>
      </w:r>
      <w:r>
        <w:tab/>
      </w:r>
      <w:r>
        <w:fldChar w:fldCharType="begin"/>
      </w:r>
      <w:r>
        <w:instrText xml:space="preserve"> PAGEREF _Toc16094 \h </w:instrText>
      </w:r>
      <w:r>
        <w:rPr>
          <w:rFonts w:hint="eastAsia"/>
        </w:rPr>
        <w:fldChar w:fldCharType="separate"/>
      </w:r>
      <w:r>
        <w:t>10</w:t>
      </w:r>
      <w:r>
        <w:fldChar w:fldCharType="end"/>
      </w:r>
      <w:r>
        <w:fldChar w:fldCharType="end"/>
      </w:r>
    </w:p>
    <w:p w14:paraId="72B3685D">
      <w:pPr>
        <w:pStyle w:val="15"/>
        <w:tabs>
          <w:tab w:val="right" w:leader="dot" w:pos="9638"/>
        </w:tabs>
        <w:rPr>
          <w:rFonts w:hint="eastAsia"/>
        </w:rPr>
      </w:pPr>
      <w:r>
        <w:fldChar w:fldCharType="begin"/>
      </w:r>
      <w:r>
        <w:instrText xml:space="preserve"> HYPERLINK \l "_Toc21269" </w:instrText>
      </w:r>
      <w:r>
        <w:fldChar w:fldCharType="separate"/>
      </w:r>
      <w:r>
        <w:rPr>
          <w:rFonts w:hint="eastAsia" w:ascii="仿宋_GB2312" w:hAnsi="仿宋_GB2312" w:eastAsia="仿宋_GB2312" w:cs="仿宋_GB2312"/>
          <w:bCs/>
        </w:rPr>
        <w:t>17．参选文件的修改</w:t>
      </w:r>
      <w:r>
        <w:tab/>
      </w:r>
      <w:r>
        <w:fldChar w:fldCharType="begin"/>
      </w:r>
      <w:r>
        <w:instrText xml:space="preserve"> PAGEREF _Toc21269 \h </w:instrText>
      </w:r>
      <w:r>
        <w:rPr>
          <w:rFonts w:hint="eastAsia"/>
        </w:rPr>
        <w:fldChar w:fldCharType="separate"/>
      </w:r>
      <w:r>
        <w:t>10</w:t>
      </w:r>
      <w:r>
        <w:fldChar w:fldCharType="end"/>
      </w:r>
      <w:r>
        <w:fldChar w:fldCharType="end"/>
      </w:r>
    </w:p>
    <w:p w14:paraId="67B7B344">
      <w:pPr>
        <w:pStyle w:val="15"/>
        <w:tabs>
          <w:tab w:val="right" w:leader="dot" w:pos="9638"/>
        </w:tabs>
        <w:rPr>
          <w:rFonts w:hint="eastAsia"/>
        </w:rPr>
      </w:pPr>
      <w:r>
        <w:fldChar w:fldCharType="begin"/>
      </w:r>
      <w:r>
        <w:instrText xml:space="preserve"> HYPERLINK \l "_Toc23274" </w:instrText>
      </w:r>
      <w:r>
        <w:fldChar w:fldCharType="separate"/>
      </w:r>
      <w:r>
        <w:rPr>
          <w:rFonts w:hint="eastAsia" w:ascii="仿宋_GB2312" w:hAnsi="仿宋_GB2312" w:eastAsia="仿宋_GB2312" w:cs="仿宋_GB2312"/>
          <w:bCs/>
        </w:rPr>
        <w:t>18．项目分包</w:t>
      </w:r>
      <w:r>
        <w:tab/>
      </w:r>
      <w:r>
        <w:fldChar w:fldCharType="begin"/>
      </w:r>
      <w:r>
        <w:instrText xml:space="preserve"> PAGEREF _Toc23274 \h </w:instrText>
      </w:r>
      <w:r>
        <w:rPr>
          <w:rFonts w:hint="eastAsia"/>
        </w:rPr>
        <w:fldChar w:fldCharType="separate"/>
      </w:r>
      <w:r>
        <w:t>10</w:t>
      </w:r>
      <w:r>
        <w:fldChar w:fldCharType="end"/>
      </w:r>
      <w:r>
        <w:fldChar w:fldCharType="end"/>
      </w:r>
    </w:p>
    <w:p w14:paraId="0D651EBC">
      <w:pPr>
        <w:pStyle w:val="15"/>
        <w:tabs>
          <w:tab w:val="right" w:leader="dot" w:pos="9638"/>
        </w:tabs>
        <w:rPr>
          <w:rFonts w:hint="eastAsia"/>
        </w:rPr>
      </w:pPr>
      <w:r>
        <w:fldChar w:fldCharType="begin"/>
      </w:r>
      <w:r>
        <w:instrText xml:space="preserve"> HYPERLINK \l "_Toc3955" </w:instrText>
      </w:r>
      <w:r>
        <w:fldChar w:fldCharType="separate"/>
      </w:r>
      <w:r>
        <w:rPr>
          <w:rFonts w:hint="eastAsia" w:ascii="仿宋_GB2312" w:hAnsi="仿宋_GB2312" w:eastAsia="仿宋_GB2312" w:cs="仿宋_GB2312"/>
          <w:bCs/>
        </w:rPr>
        <w:t>19．参选联合体</w:t>
      </w:r>
      <w:r>
        <w:tab/>
      </w:r>
      <w:r>
        <w:fldChar w:fldCharType="begin"/>
      </w:r>
      <w:r>
        <w:instrText xml:space="preserve"> PAGEREF _Toc3955 \h </w:instrText>
      </w:r>
      <w:r>
        <w:rPr>
          <w:rFonts w:hint="eastAsia"/>
        </w:rPr>
        <w:fldChar w:fldCharType="separate"/>
      </w:r>
      <w:r>
        <w:t>10</w:t>
      </w:r>
      <w:r>
        <w:fldChar w:fldCharType="end"/>
      </w:r>
      <w:r>
        <w:fldChar w:fldCharType="end"/>
      </w:r>
    </w:p>
    <w:p w14:paraId="7B58BC67">
      <w:pPr>
        <w:pStyle w:val="25"/>
        <w:tabs>
          <w:tab w:val="right" w:leader="dot" w:pos="9638"/>
        </w:tabs>
        <w:rPr>
          <w:rFonts w:hint="eastAsia"/>
        </w:rPr>
      </w:pPr>
      <w:r>
        <w:fldChar w:fldCharType="begin"/>
      </w:r>
      <w:r>
        <w:instrText xml:space="preserve"> HYPERLINK \l "_Toc363" </w:instrText>
      </w:r>
      <w:r>
        <w:fldChar w:fldCharType="separate"/>
      </w:r>
      <w:r>
        <w:rPr>
          <w:rFonts w:hint="eastAsia" w:ascii="黑体" w:hAnsi="黑体" w:eastAsia="黑体" w:cs="黑体"/>
          <w:bCs/>
          <w:szCs w:val="28"/>
        </w:rPr>
        <w:t>E 评审</w:t>
      </w:r>
      <w:r>
        <w:tab/>
      </w:r>
      <w:r>
        <w:fldChar w:fldCharType="begin"/>
      </w:r>
      <w:r>
        <w:instrText xml:space="preserve"> PAGEREF _Toc363 \h </w:instrText>
      </w:r>
      <w:r>
        <w:rPr>
          <w:rFonts w:hint="eastAsia"/>
        </w:rPr>
        <w:fldChar w:fldCharType="separate"/>
      </w:r>
      <w:r>
        <w:t>10</w:t>
      </w:r>
      <w:r>
        <w:fldChar w:fldCharType="end"/>
      </w:r>
      <w:r>
        <w:fldChar w:fldCharType="end"/>
      </w:r>
    </w:p>
    <w:p w14:paraId="1640BEC5">
      <w:pPr>
        <w:pStyle w:val="15"/>
        <w:tabs>
          <w:tab w:val="right" w:leader="dot" w:pos="9638"/>
        </w:tabs>
        <w:rPr>
          <w:rFonts w:hint="eastAsia"/>
        </w:rPr>
      </w:pPr>
      <w:r>
        <w:fldChar w:fldCharType="begin"/>
      </w:r>
      <w:r>
        <w:instrText xml:space="preserve"> HYPERLINK \l "_Toc25014" </w:instrText>
      </w:r>
      <w:r>
        <w:fldChar w:fldCharType="separate"/>
      </w:r>
      <w:r>
        <w:rPr>
          <w:rFonts w:hint="eastAsia" w:ascii="仿宋_GB2312" w:hAnsi="仿宋_GB2312" w:eastAsia="仿宋_GB2312" w:cs="仿宋_GB2312"/>
          <w:bCs/>
        </w:rPr>
        <w:t>20. 参选文件的递交</w:t>
      </w:r>
      <w:r>
        <w:tab/>
      </w:r>
      <w:r>
        <w:fldChar w:fldCharType="begin"/>
      </w:r>
      <w:r>
        <w:instrText xml:space="preserve"> PAGEREF _Toc25014 \h </w:instrText>
      </w:r>
      <w:r>
        <w:rPr>
          <w:rFonts w:hint="eastAsia"/>
        </w:rPr>
        <w:fldChar w:fldCharType="separate"/>
      </w:r>
      <w:r>
        <w:t>10</w:t>
      </w:r>
      <w:r>
        <w:fldChar w:fldCharType="end"/>
      </w:r>
      <w:r>
        <w:fldChar w:fldCharType="end"/>
      </w:r>
    </w:p>
    <w:p w14:paraId="4CE34F14">
      <w:pPr>
        <w:pStyle w:val="15"/>
        <w:tabs>
          <w:tab w:val="right" w:leader="dot" w:pos="9638"/>
        </w:tabs>
        <w:rPr>
          <w:rFonts w:hint="eastAsia"/>
        </w:rPr>
      </w:pPr>
      <w:r>
        <w:fldChar w:fldCharType="begin"/>
      </w:r>
      <w:r>
        <w:instrText xml:space="preserve"> HYPERLINK \l "_Toc12142" </w:instrText>
      </w:r>
      <w:r>
        <w:fldChar w:fldCharType="separate"/>
      </w:r>
      <w:r>
        <w:rPr>
          <w:rFonts w:hint="eastAsia" w:ascii="仿宋_GB2312" w:hAnsi="仿宋_GB2312" w:eastAsia="仿宋_GB2312" w:cs="仿宋_GB2312"/>
          <w:bCs/>
        </w:rPr>
        <w:t>21. 评委会</w:t>
      </w:r>
      <w:r>
        <w:tab/>
      </w:r>
      <w:r>
        <w:fldChar w:fldCharType="begin"/>
      </w:r>
      <w:r>
        <w:instrText xml:space="preserve"> PAGEREF _Toc12142 \h </w:instrText>
      </w:r>
      <w:r>
        <w:rPr>
          <w:rFonts w:hint="eastAsia"/>
        </w:rPr>
        <w:fldChar w:fldCharType="separate"/>
      </w:r>
      <w:r>
        <w:t>10</w:t>
      </w:r>
      <w:r>
        <w:fldChar w:fldCharType="end"/>
      </w:r>
      <w:r>
        <w:fldChar w:fldCharType="end"/>
      </w:r>
    </w:p>
    <w:p w14:paraId="475D7EFE">
      <w:pPr>
        <w:pStyle w:val="15"/>
        <w:tabs>
          <w:tab w:val="right" w:leader="dot" w:pos="9638"/>
        </w:tabs>
        <w:rPr>
          <w:rFonts w:hint="eastAsia"/>
        </w:rPr>
      </w:pPr>
      <w:r>
        <w:fldChar w:fldCharType="begin"/>
      </w:r>
      <w:r>
        <w:instrText xml:space="preserve"> HYPERLINK \l "_Toc1772" </w:instrText>
      </w:r>
      <w:r>
        <w:fldChar w:fldCharType="separate"/>
      </w:r>
      <w:r>
        <w:rPr>
          <w:rFonts w:hint="eastAsia" w:ascii="仿宋_GB2312" w:hAnsi="仿宋_GB2312" w:eastAsia="仿宋_GB2312" w:cs="仿宋_GB2312"/>
          <w:bCs/>
        </w:rPr>
        <w:t>22. 对“参选文件”的审查和响应性的确定</w:t>
      </w:r>
      <w:r>
        <w:tab/>
      </w:r>
      <w:r>
        <w:fldChar w:fldCharType="begin"/>
      </w:r>
      <w:r>
        <w:instrText xml:space="preserve"> PAGEREF _Toc1772 \h </w:instrText>
      </w:r>
      <w:r>
        <w:rPr>
          <w:rFonts w:hint="eastAsia"/>
        </w:rPr>
        <w:fldChar w:fldCharType="separate"/>
      </w:r>
      <w:r>
        <w:t>11</w:t>
      </w:r>
      <w:r>
        <w:fldChar w:fldCharType="end"/>
      </w:r>
      <w:r>
        <w:fldChar w:fldCharType="end"/>
      </w:r>
    </w:p>
    <w:p w14:paraId="68DDB01C">
      <w:pPr>
        <w:pStyle w:val="15"/>
        <w:tabs>
          <w:tab w:val="right" w:leader="dot" w:pos="9638"/>
        </w:tabs>
        <w:rPr>
          <w:rFonts w:hint="eastAsia"/>
        </w:rPr>
      </w:pPr>
      <w:r>
        <w:fldChar w:fldCharType="begin"/>
      </w:r>
      <w:r>
        <w:instrText xml:space="preserve"> HYPERLINK \l "_Toc22829" </w:instrText>
      </w:r>
      <w:r>
        <w:fldChar w:fldCharType="separate"/>
      </w:r>
      <w:r>
        <w:rPr>
          <w:rFonts w:hint="eastAsia" w:ascii="仿宋_GB2312" w:hAnsi="仿宋_GB2312" w:eastAsia="仿宋_GB2312" w:cs="仿宋_GB2312"/>
          <w:bCs/>
        </w:rPr>
        <w:t>23. 参选文件的澄清</w:t>
      </w:r>
      <w:r>
        <w:tab/>
      </w:r>
      <w:r>
        <w:fldChar w:fldCharType="begin"/>
      </w:r>
      <w:r>
        <w:instrText xml:space="preserve"> PAGEREF _Toc22829 \h </w:instrText>
      </w:r>
      <w:r>
        <w:rPr>
          <w:rFonts w:hint="eastAsia"/>
        </w:rPr>
        <w:fldChar w:fldCharType="separate"/>
      </w:r>
      <w:r>
        <w:t>11</w:t>
      </w:r>
      <w:r>
        <w:fldChar w:fldCharType="end"/>
      </w:r>
      <w:r>
        <w:fldChar w:fldCharType="end"/>
      </w:r>
    </w:p>
    <w:p w14:paraId="1BBA1A36">
      <w:pPr>
        <w:pStyle w:val="15"/>
        <w:tabs>
          <w:tab w:val="right" w:leader="dot" w:pos="9638"/>
        </w:tabs>
        <w:rPr>
          <w:rFonts w:hint="eastAsia"/>
        </w:rPr>
      </w:pPr>
      <w:r>
        <w:fldChar w:fldCharType="begin"/>
      </w:r>
      <w:r>
        <w:instrText xml:space="preserve"> HYPERLINK \l "_Toc18473" </w:instrText>
      </w:r>
      <w:r>
        <w:fldChar w:fldCharType="separate"/>
      </w:r>
      <w:r>
        <w:rPr>
          <w:rFonts w:hint="eastAsia" w:ascii="仿宋_GB2312" w:hAnsi="仿宋_GB2312" w:eastAsia="仿宋_GB2312" w:cs="仿宋_GB2312"/>
          <w:bCs/>
        </w:rPr>
        <w:t>24. 评审原则和方法</w:t>
      </w:r>
      <w:r>
        <w:tab/>
      </w:r>
      <w:r>
        <w:fldChar w:fldCharType="begin"/>
      </w:r>
      <w:r>
        <w:instrText xml:space="preserve"> PAGEREF _Toc18473 \h </w:instrText>
      </w:r>
      <w:r>
        <w:rPr>
          <w:rFonts w:hint="eastAsia"/>
        </w:rPr>
        <w:fldChar w:fldCharType="separate"/>
      </w:r>
      <w:r>
        <w:t>12</w:t>
      </w:r>
      <w:r>
        <w:fldChar w:fldCharType="end"/>
      </w:r>
      <w:r>
        <w:fldChar w:fldCharType="end"/>
      </w:r>
    </w:p>
    <w:p w14:paraId="4D8C3CA5">
      <w:pPr>
        <w:pStyle w:val="15"/>
        <w:tabs>
          <w:tab w:val="right" w:leader="dot" w:pos="9638"/>
        </w:tabs>
        <w:rPr>
          <w:rFonts w:hint="eastAsia"/>
        </w:rPr>
      </w:pPr>
      <w:r>
        <w:fldChar w:fldCharType="begin"/>
      </w:r>
      <w:r>
        <w:instrText xml:space="preserve"> HYPERLINK \l "_Toc14891" </w:instrText>
      </w:r>
      <w:r>
        <w:fldChar w:fldCharType="separate"/>
      </w:r>
      <w:r>
        <w:rPr>
          <w:rFonts w:hint="eastAsia" w:ascii="仿宋_GB2312" w:hAnsi="仿宋_GB2312" w:eastAsia="仿宋_GB2312" w:cs="仿宋_GB2312"/>
          <w:bCs/>
        </w:rPr>
        <w:t>25. 评审会</w:t>
      </w:r>
      <w:r>
        <w:tab/>
      </w:r>
      <w:r>
        <w:fldChar w:fldCharType="begin"/>
      </w:r>
      <w:r>
        <w:instrText xml:space="preserve"> PAGEREF _Toc14891 \h </w:instrText>
      </w:r>
      <w:r>
        <w:rPr>
          <w:rFonts w:hint="eastAsia"/>
        </w:rPr>
        <w:fldChar w:fldCharType="separate"/>
      </w:r>
      <w:r>
        <w:t>12</w:t>
      </w:r>
      <w:r>
        <w:fldChar w:fldCharType="end"/>
      </w:r>
      <w:r>
        <w:fldChar w:fldCharType="end"/>
      </w:r>
    </w:p>
    <w:p w14:paraId="17FF542B">
      <w:pPr>
        <w:pStyle w:val="15"/>
        <w:tabs>
          <w:tab w:val="right" w:leader="dot" w:pos="9638"/>
        </w:tabs>
        <w:rPr>
          <w:rFonts w:hint="eastAsia"/>
        </w:rPr>
      </w:pPr>
      <w:r>
        <w:fldChar w:fldCharType="begin"/>
      </w:r>
      <w:r>
        <w:instrText xml:space="preserve"> HYPERLINK \l "_Toc5813" </w:instrText>
      </w:r>
      <w:r>
        <w:fldChar w:fldCharType="separate"/>
      </w:r>
      <w:r>
        <w:rPr>
          <w:rFonts w:hint="eastAsia" w:ascii="仿宋_GB2312" w:hAnsi="仿宋_GB2312" w:eastAsia="仿宋_GB2312" w:cs="仿宋_GB2312"/>
          <w:bCs/>
        </w:rPr>
        <w:t>26. 评审小组和评审方法</w:t>
      </w:r>
      <w:r>
        <w:tab/>
      </w:r>
      <w:r>
        <w:fldChar w:fldCharType="begin"/>
      </w:r>
      <w:r>
        <w:instrText xml:space="preserve"> PAGEREF _Toc5813 \h </w:instrText>
      </w:r>
      <w:r>
        <w:rPr>
          <w:rFonts w:hint="eastAsia"/>
        </w:rPr>
        <w:fldChar w:fldCharType="separate"/>
      </w:r>
      <w:r>
        <w:t>12</w:t>
      </w:r>
      <w:r>
        <w:fldChar w:fldCharType="end"/>
      </w:r>
      <w:r>
        <w:fldChar w:fldCharType="end"/>
      </w:r>
    </w:p>
    <w:p w14:paraId="394CC160">
      <w:pPr>
        <w:pStyle w:val="15"/>
        <w:tabs>
          <w:tab w:val="right" w:leader="dot" w:pos="9638"/>
        </w:tabs>
        <w:rPr>
          <w:rFonts w:hint="eastAsia"/>
        </w:rPr>
      </w:pPr>
      <w:r>
        <w:fldChar w:fldCharType="begin"/>
      </w:r>
      <w:r>
        <w:instrText xml:space="preserve"> HYPERLINK \l "_Toc23317" </w:instrText>
      </w:r>
      <w:r>
        <w:fldChar w:fldCharType="separate"/>
      </w:r>
      <w:r>
        <w:rPr>
          <w:rFonts w:hint="eastAsia" w:ascii="仿宋_GB2312" w:hAnsi="仿宋_GB2312" w:eastAsia="仿宋_GB2312" w:cs="仿宋_GB2312"/>
          <w:bCs/>
        </w:rPr>
        <w:t>27. 初步评审</w:t>
      </w:r>
      <w:r>
        <w:tab/>
      </w:r>
      <w:r>
        <w:fldChar w:fldCharType="begin"/>
      </w:r>
      <w:r>
        <w:instrText xml:space="preserve"> PAGEREF _Toc23317 \h </w:instrText>
      </w:r>
      <w:r>
        <w:rPr>
          <w:rFonts w:hint="eastAsia"/>
        </w:rPr>
        <w:fldChar w:fldCharType="separate"/>
      </w:r>
      <w:r>
        <w:t>13</w:t>
      </w:r>
      <w:r>
        <w:fldChar w:fldCharType="end"/>
      </w:r>
      <w:r>
        <w:fldChar w:fldCharType="end"/>
      </w:r>
    </w:p>
    <w:p w14:paraId="50A34BDA">
      <w:pPr>
        <w:pStyle w:val="15"/>
        <w:tabs>
          <w:tab w:val="right" w:leader="dot" w:pos="9638"/>
        </w:tabs>
        <w:rPr>
          <w:rFonts w:hint="eastAsia"/>
        </w:rPr>
      </w:pPr>
      <w:r>
        <w:fldChar w:fldCharType="begin"/>
      </w:r>
      <w:r>
        <w:instrText xml:space="preserve"> HYPERLINK \l "_Toc27372" </w:instrText>
      </w:r>
      <w:r>
        <w:fldChar w:fldCharType="separate"/>
      </w:r>
      <w:r>
        <w:rPr>
          <w:rFonts w:hint="eastAsia" w:ascii="仿宋_GB2312" w:hAnsi="仿宋_GB2312" w:eastAsia="仿宋_GB2312" w:cs="仿宋_GB2312"/>
          <w:bCs/>
        </w:rPr>
        <w:t>28. 邀请供应商现场述标</w:t>
      </w:r>
      <w:r>
        <w:tab/>
      </w:r>
      <w:r>
        <w:fldChar w:fldCharType="begin"/>
      </w:r>
      <w:r>
        <w:instrText xml:space="preserve"> PAGEREF _Toc27372 \h </w:instrText>
      </w:r>
      <w:r>
        <w:rPr>
          <w:rFonts w:hint="eastAsia"/>
        </w:rPr>
        <w:fldChar w:fldCharType="separate"/>
      </w:r>
      <w:r>
        <w:t>14</w:t>
      </w:r>
      <w:r>
        <w:fldChar w:fldCharType="end"/>
      </w:r>
      <w:r>
        <w:fldChar w:fldCharType="end"/>
      </w:r>
    </w:p>
    <w:p w14:paraId="23A1CB14">
      <w:pPr>
        <w:pStyle w:val="15"/>
        <w:tabs>
          <w:tab w:val="right" w:leader="dot" w:pos="9638"/>
        </w:tabs>
        <w:rPr>
          <w:rFonts w:hint="eastAsia"/>
        </w:rPr>
      </w:pPr>
      <w:r>
        <w:fldChar w:fldCharType="begin"/>
      </w:r>
      <w:r>
        <w:instrText xml:space="preserve"> HYPERLINK \l "_Toc9142" </w:instrText>
      </w:r>
      <w:r>
        <w:fldChar w:fldCharType="separate"/>
      </w:r>
      <w:r>
        <w:rPr>
          <w:rFonts w:hint="eastAsia" w:ascii="仿宋_GB2312" w:hAnsi="仿宋_GB2312" w:eastAsia="仿宋_GB2312" w:cs="仿宋_GB2312"/>
          <w:bCs/>
        </w:rPr>
        <w:t>29. 综合评比</w:t>
      </w:r>
      <w:r>
        <w:tab/>
      </w:r>
      <w:r>
        <w:fldChar w:fldCharType="begin"/>
      </w:r>
      <w:r>
        <w:instrText xml:space="preserve"> PAGEREF _Toc9142 \h </w:instrText>
      </w:r>
      <w:r>
        <w:rPr>
          <w:rFonts w:hint="eastAsia"/>
        </w:rPr>
        <w:fldChar w:fldCharType="separate"/>
      </w:r>
      <w:r>
        <w:t>14</w:t>
      </w:r>
      <w:r>
        <w:fldChar w:fldCharType="end"/>
      </w:r>
      <w:r>
        <w:fldChar w:fldCharType="end"/>
      </w:r>
    </w:p>
    <w:p w14:paraId="10F892CA">
      <w:pPr>
        <w:pStyle w:val="15"/>
        <w:tabs>
          <w:tab w:val="right" w:leader="dot" w:pos="9638"/>
        </w:tabs>
        <w:rPr>
          <w:rFonts w:hint="eastAsia"/>
        </w:rPr>
      </w:pPr>
      <w:r>
        <w:fldChar w:fldCharType="begin"/>
      </w:r>
      <w:r>
        <w:instrText xml:space="preserve"> HYPERLINK \l "_Toc734" </w:instrText>
      </w:r>
      <w:r>
        <w:fldChar w:fldCharType="separate"/>
      </w:r>
      <w:r>
        <w:rPr>
          <w:rFonts w:hint="eastAsia" w:ascii="仿宋_GB2312" w:hAnsi="仿宋_GB2312" w:eastAsia="仿宋_GB2312" w:cs="仿宋_GB2312"/>
          <w:bCs/>
        </w:rPr>
        <w:t>30. 中选人</w:t>
      </w:r>
      <w:r>
        <w:tab/>
      </w:r>
      <w:r>
        <w:fldChar w:fldCharType="begin"/>
      </w:r>
      <w:r>
        <w:instrText xml:space="preserve"> PAGEREF _Toc734 \h </w:instrText>
      </w:r>
      <w:r>
        <w:rPr>
          <w:rFonts w:hint="eastAsia"/>
        </w:rPr>
        <w:fldChar w:fldCharType="separate"/>
      </w:r>
      <w:r>
        <w:t>14</w:t>
      </w:r>
      <w:r>
        <w:fldChar w:fldCharType="end"/>
      </w:r>
      <w:r>
        <w:fldChar w:fldCharType="end"/>
      </w:r>
    </w:p>
    <w:p w14:paraId="2B23FEAA">
      <w:pPr>
        <w:pStyle w:val="15"/>
        <w:tabs>
          <w:tab w:val="right" w:leader="dot" w:pos="9638"/>
        </w:tabs>
        <w:rPr>
          <w:rFonts w:hint="eastAsia"/>
        </w:rPr>
      </w:pPr>
      <w:r>
        <w:fldChar w:fldCharType="begin"/>
      </w:r>
      <w:r>
        <w:instrText xml:space="preserve"> HYPERLINK \l "_Toc16769" </w:instrText>
      </w:r>
      <w:r>
        <w:fldChar w:fldCharType="separate"/>
      </w:r>
      <w:r>
        <w:rPr>
          <w:rFonts w:hint="eastAsia" w:ascii="宋体" w:hAnsi="宋体"/>
        </w:rPr>
        <w:t>附表2：评审表</w:t>
      </w:r>
      <w:r>
        <w:tab/>
      </w:r>
      <w:r>
        <w:fldChar w:fldCharType="begin"/>
      </w:r>
      <w:r>
        <w:instrText xml:space="preserve"> PAGEREF _Toc16769 \h </w:instrText>
      </w:r>
      <w:r>
        <w:rPr>
          <w:rFonts w:hint="eastAsia"/>
        </w:rPr>
        <w:fldChar w:fldCharType="separate"/>
      </w:r>
      <w:r>
        <w:t>16</w:t>
      </w:r>
      <w:r>
        <w:fldChar w:fldCharType="end"/>
      </w:r>
      <w:r>
        <w:fldChar w:fldCharType="end"/>
      </w:r>
    </w:p>
    <w:p w14:paraId="1EED8AD7">
      <w:pPr>
        <w:pStyle w:val="25"/>
        <w:tabs>
          <w:tab w:val="right" w:leader="dot" w:pos="9638"/>
        </w:tabs>
        <w:rPr>
          <w:rFonts w:hint="eastAsia"/>
        </w:rPr>
      </w:pPr>
      <w:r>
        <w:fldChar w:fldCharType="begin"/>
      </w:r>
      <w:r>
        <w:instrText xml:space="preserve"> HYPERLINK \l "_Toc18226" </w:instrText>
      </w:r>
      <w:r>
        <w:fldChar w:fldCharType="separate"/>
      </w:r>
      <w:r>
        <w:rPr>
          <w:rFonts w:hint="eastAsia" w:ascii="黑体" w:hAnsi="黑体" w:eastAsia="黑体" w:cs="黑体"/>
          <w:bCs/>
          <w:szCs w:val="28"/>
        </w:rPr>
        <w:t>F 授予合同</w:t>
      </w:r>
      <w:r>
        <w:tab/>
      </w:r>
      <w:r>
        <w:fldChar w:fldCharType="begin"/>
      </w:r>
      <w:r>
        <w:instrText xml:space="preserve"> PAGEREF _Toc18226 \h </w:instrText>
      </w:r>
      <w:r>
        <w:rPr>
          <w:rFonts w:hint="eastAsia"/>
        </w:rPr>
        <w:fldChar w:fldCharType="separate"/>
      </w:r>
      <w:r>
        <w:t>18</w:t>
      </w:r>
      <w:r>
        <w:fldChar w:fldCharType="end"/>
      </w:r>
      <w:r>
        <w:fldChar w:fldCharType="end"/>
      </w:r>
    </w:p>
    <w:p w14:paraId="19F40DBC">
      <w:pPr>
        <w:pStyle w:val="15"/>
        <w:tabs>
          <w:tab w:val="right" w:leader="dot" w:pos="9638"/>
        </w:tabs>
        <w:rPr>
          <w:rFonts w:hint="eastAsia"/>
        </w:rPr>
      </w:pPr>
      <w:r>
        <w:fldChar w:fldCharType="begin"/>
      </w:r>
      <w:r>
        <w:instrText xml:space="preserve"> HYPERLINK \l "_Toc12163" </w:instrText>
      </w:r>
      <w:r>
        <w:fldChar w:fldCharType="separate"/>
      </w:r>
      <w:r>
        <w:rPr>
          <w:rFonts w:hint="eastAsia" w:ascii="仿宋_GB2312" w:hAnsi="仿宋_GB2312" w:eastAsia="仿宋_GB2312" w:cs="仿宋_GB2312"/>
          <w:bCs/>
        </w:rPr>
        <w:t>31. 中选人的确定</w:t>
      </w:r>
      <w:r>
        <w:tab/>
      </w:r>
      <w:r>
        <w:fldChar w:fldCharType="begin"/>
      </w:r>
      <w:r>
        <w:instrText xml:space="preserve"> PAGEREF _Toc12163 \h </w:instrText>
      </w:r>
      <w:r>
        <w:rPr>
          <w:rFonts w:hint="eastAsia"/>
        </w:rPr>
        <w:fldChar w:fldCharType="separate"/>
      </w:r>
      <w:r>
        <w:t>18</w:t>
      </w:r>
      <w:r>
        <w:fldChar w:fldCharType="end"/>
      </w:r>
      <w:r>
        <w:fldChar w:fldCharType="end"/>
      </w:r>
    </w:p>
    <w:p w14:paraId="42BF9E8B">
      <w:pPr>
        <w:pStyle w:val="15"/>
        <w:tabs>
          <w:tab w:val="right" w:leader="dot" w:pos="9638"/>
        </w:tabs>
        <w:rPr>
          <w:rFonts w:hint="eastAsia"/>
        </w:rPr>
      </w:pPr>
      <w:r>
        <w:fldChar w:fldCharType="begin"/>
      </w:r>
      <w:r>
        <w:instrText xml:space="preserve"> HYPERLINK \l "_Toc4055" </w:instrText>
      </w:r>
      <w:r>
        <w:fldChar w:fldCharType="separate"/>
      </w:r>
      <w:r>
        <w:rPr>
          <w:rFonts w:hint="eastAsia" w:ascii="仿宋_GB2312" w:hAnsi="仿宋_GB2312" w:eastAsia="仿宋_GB2312" w:cs="仿宋_GB2312"/>
          <w:bCs/>
        </w:rPr>
        <w:t>32. 竞磋结果公示</w:t>
      </w:r>
      <w:r>
        <w:tab/>
      </w:r>
      <w:r>
        <w:fldChar w:fldCharType="begin"/>
      </w:r>
      <w:r>
        <w:instrText xml:space="preserve"> PAGEREF _Toc4055 \h </w:instrText>
      </w:r>
      <w:r>
        <w:rPr>
          <w:rFonts w:hint="eastAsia"/>
        </w:rPr>
        <w:fldChar w:fldCharType="separate"/>
      </w:r>
      <w:r>
        <w:t>18</w:t>
      </w:r>
      <w:r>
        <w:fldChar w:fldCharType="end"/>
      </w:r>
      <w:r>
        <w:fldChar w:fldCharType="end"/>
      </w:r>
    </w:p>
    <w:p w14:paraId="4C320BA5">
      <w:pPr>
        <w:pStyle w:val="15"/>
        <w:tabs>
          <w:tab w:val="right" w:leader="dot" w:pos="9638"/>
        </w:tabs>
        <w:rPr>
          <w:rFonts w:hint="eastAsia"/>
        </w:rPr>
      </w:pPr>
      <w:r>
        <w:fldChar w:fldCharType="begin"/>
      </w:r>
      <w:r>
        <w:instrText xml:space="preserve"> HYPERLINK \l "_Toc21171" </w:instrText>
      </w:r>
      <w:r>
        <w:fldChar w:fldCharType="separate"/>
      </w:r>
      <w:r>
        <w:rPr>
          <w:rFonts w:hint="eastAsia" w:ascii="仿宋_GB2312" w:hAnsi="仿宋_GB2312" w:eastAsia="仿宋_GB2312" w:cs="仿宋_GB2312"/>
          <w:bCs/>
        </w:rPr>
        <w:t>33. 质疑和投诉</w:t>
      </w:r>
      <w:r>
        <w:tab/>
      </w:r>
      <w:r>
        <w:fldChar w:fldCharType="begin"/>
      </w:r>
      <w:r>
        <w:instrText xml:space="preserve"> PAGEREF _Toc21171 \h </w:instrText>
      </w:r>
      <w:r>
        <w:rPr>
          <w:rFonts w:hint="eastAsia"/>
        </w:rPr>
        <w:fldChar w:fldCharType="separate"/>
      </w:r>
      <w:r>
        <w:t>18</w:t>
      </w:r>
      <w:r>
        <w:fldChar w:fldCharType="end"/>
      </w:r>
      <w:r>
        <w:fldChar w:fldCharType="end"/>
      </w:r>
      <w:bookmarkStart w:id="156" w:name="_GoBack"/>
      <w:bookmarkEnd w:id="156"/>
    </w:p>
    <w:p w14:paraId="36F587EB">
      <w:pPr>
        <w:pStyle w:val="15"/>
        <w:tabs>
          <w:tab w:val="right" w:leader="dot" w:pos="9638"/>
        </w:tabs>
        <w:rPr>
          <w:rFonts w:hint="eastAsia"/>
        </w:rPr>
      </w:pPr>
      <w:r>
        <w:fldChar w:fldCharType="begin"/>
      </w:r>
      <w:r>
        <w:instrText xml:space="preserve"> HYPERLINK \l "_Toc3976" </w:instrText>
      </w:r>
      <w:r>
        <w:fldChar w:fldCharType="separate"/>
      </w:r>
      <w:r>
        <w:rPr>
          <w:rFonts w:hint="eastAsia" w:ascii="仿宋_GB2312" w:hAnsi="仿宋_GB2312" w:eastAsia="仿宋_GB2312" w:cs="仿宋_GB2312"/>
          <w:bCs/>
        </w:rPr>
        <w:t>34. 中选及中选结果通知</w:t>
      </w:r>
      <w:r>
        <w:tab/>
      </w:r>
      <w:r>
        <w:fldChar w:fldCharType="begin"/>
      </w:r>
      <w:r>
        <w:instrText xml:space="preserve"> PAGEREF _Toc3976 \h </w:instrText>
      </w:r>
      <w:r>
        <w:rPr>
          <w:rFonts w:hint="eastAsia"/>
        </w:rPr>
        <w:fldChar w:fldCharType="separate"/>
      </w:r>
      <w:r>
        <w:t>19</w:t>
      </w:r>
      <w:r>
        <w:fldChar w:fldCharType="end"/>
      </w:r>
      <w:r>
        <w:fldChar w:fldCharType="end"/>
      </w:r>
    </w:p>
    <w:p w14:paraId="046C0716">
      <w:pPr>
        <w:pStyle w:val="15"/>
        <w:tabs>
          <w:tab w:val="right" w:leader="dot" w:pos="9638"/>
        </w:tabs>
        <w:rPr>
          <w:rFonts w:hint="eastAsia"/>
        </w:rPr>
      </w:pPr>
      <w:r>
        <w:fldChar w:fldCharType="begin"/>
      </w:r>
      <w:r>
        <w:instrText xml:space="preserve"> HYPERLINK \l "_Toc30205" </w:instrText>
      </w:r>
      <w:r>
        <w:fldChar w:fldCharType="separate"/>
      </w:r>
      <w:r>
        <w:rPr>
          <w:rFonts w:hint="eastAsia" w:ascii="仿宋_GB2312" w:hAnsi="仿宋_GB2312" w:eastAsia="仿宋_GB2312" w:cs="仿宋_GB2312"/>
          <w:bCs/>
        </w:rPr>
        <w:t>35. 签订合同</w:t>
      </w:r>
      <w:r>
        <w:tab/>
      </w:r>
      <w:r>
        <w:fldChar w:fldCharType="begin"/>
      </w:r>
      <w:r>
        <w:instrText xml:space="preserve"> PAGEREF _Toc30205 \h </w:instrText>
      </w:r>
      <w:r>
        <w:rPr>
          <w:rFonts w:hint="eastAsia"/>
        </w:rPr>
        <w:fldChar w:fldCharType="separate"/>
      </w:r>
      <w:r>
        <w:t>19</w:t>
      </w:r>
      <w:r>
        <w:fldChar w:fldCharType="end"/>
      </w:r>
      <w:r>
        <w:fldChar w:fldCharType="end"/>
      </w:r>
    </w:p>
    <w:p w14:paraId="3F5879C2">
      <w:pPr>
        <w:pStyle w:val="15"/>
        <w:tabs>
          <w:tab w:val="right" w:leader="dot" w:pos="9638"/>
        </w:tabs>
        <w:rPr>
          <w:rFonts w:hint="eastAsia"/>
        </w:rPr>
      </w:pPr>
      <w:r>
        <w:fldChar w:fldCharType="begin"/>
      </w:r>
      <w:r>
        <w:instrText xml:space="preserve"> HYPERLINK \l "_Toc9266" </w:instrText>
      </w:r>
      <w:r>
        <w:fldChar w:fldCharType="separate"/>
      </w:r>
      <w:r>
        <w:rPr>
          <w:rFonts w:hint="eastAsia" w:ascii="仿宋_GB2312" w:hAnsi="仿宋_GB2312" w:eastAsia="仿宋_GB2312" w:cs="仿宋_GB2312"/>
          <w:bCs/>
        </w:rPr>
        <w:t>36. 竞磋文件的解释</w:t>
      </w:r>
      <w:r>
        <w:tab/>
      </w:r>
      <w:r>
        <w:fldChar w:fldCharType="begin"/>
      </w:r>
      <w:r>
        <w:instrText xml:space="preserve"> PAGEREF _Toc9266 \h </w:instrText>
      </w:r>
      <w:r>
        <w:rPr>
          <w:rFonts w:hint="eastAsia"/>
        </w:rPr>
        <w:fldChar w:fldCharType="separate"/>
      </w:r>
      <w:r>
        <w:t>19</w:t>
      </w:r>
      <w:r>
        <w:fldChar w:fldCharType="end"/>
      </w:r>
      <w:r>
        <w:fldChar w:fldCharType="end"/>
      </w:r>
    </w:p>
    <w:p w14:paraId="4043EC1B">
      <w:pPr>
        <w:pStyle w:val="23"/>
        <w:tabs>
          <w:tab w:val="right" w:leader="dot" w:pos="9638"/>
          <w:tab w:val="clear" w:pos="9628"/>
        </w:tabs>
        <w:rPr>
          <w:rFonts w:hint="eastAsia"/>
        </w:rPr>
      </w:pPr>
      <w:r>
        <w:fldChar w:fldCharType="begin"/>
      </w:r>
      <w:r>
        <w:instrText xml:space="preserve"> HYPERLINK \l "_Toc2946" </w:instrText>
      </w:r>
      <w:r>
        <w:fldChar w:fldCharType="separate"/>
      </w:r>
      <w:r>
        <w:rPr>
          <w:rFonts w:hint="eastAsia" w:ascii="方正小标宋简体" w:hAnsi="方正小标宋简体" w:eastAsia="方正小标宋简体" w:cs="方正小标宋简体"/>
          <w:szCs w:val="32"/>
        </w:rPr>
        <w:t>第三部分 合同条款</w:t>
      </w:r>
      <w:r>
        <w:tab/>
      </w:r>
      <w:r>
        <w:fldChar w:fldCharType="begin"/>
      </w:r>
      <w:r>
        <w:instrText xml:space="preserve"> PAGEREF _Toc2946 \h </w:instrText>
      </w:r>
      <w:r>
        <w:rPr>
          <w:rFonts w:hint="eastAsia"/>
        </w:rPr>
        <w:fldChar w:fldCharType="separate"/>
      </w:r>
      <w:r>
        <w:t>20</w:t>
      </w:r>
      <w:r>
        <w:fldChar w:fldCharType="end"/>
      </w:r>
      <w:r>
        <w:fldChar w:fldCharType="end"/>
      </w:r>
    </w:p>
    <w:p w14:paraId="08C59F7A">
      <w:pPr>
        <w:pStyle w:val="23"/>
        <w:tabs>
          <w:tab w:val="right" w:leader="dot" w:pos="9638"/>
          <w:tab w:val="clear" w:pos="9628"/>
        </w:tabs>
        <w:rPr>
          <w:rFonts w:hint="eastAsia"/>
        </w:rPr>
      </w:pPr>
      <w:r>
        <w:fldChar w:fldCharType="begin"/>
      </w:r>
      <w:r>
        <w:instrText xml:space="preserve"> HYPERLINK \l "_Toc14250" </w:instrText>
      </w:r>
      <w:r>
        <w:fldChar w:fldCharType="separate"/>
      </w:r>
      <w:r>
        <w:rPr>
          <w:rFonts w:hint="eastAsia" w:ascii="方正小标宋简体" w:hAnsi="方正小标宋简体" w:eastAsia="方正小标宋简体" w:cs="方正小标宋简体"/>
          <w:szCs w:val="32"/>
        </w:rPr>
        <w:t>第四部分 参选文件格式</w:t>
      </w:r>
      <w:r>
        <w:tab/>
      </w:r>
      <w:r>
        <w:fldChar w:fldCharType="begin"/>
      </w:r>
      <w:r>
        <w:instrText xml:space="preserve"> PAGEREF _Toc14250 \h </w:instrText>
      </w:r>
      <w:r>
        <w:rPr>
          <w:rFonts w:hint="eastAsia"/>
        </w:rPr>
        <w:fldChar w:fldCharType="separate"/>
      </w:r>
      <w:r>
        <w:t>33</w:t>
      </w:r>
      <w:r>
        <w:fldChar w:fldCharType="end"/>
      </w:r>
      <w:r>
        <w:fldChar w:fldCharType="end"/>
      </w:r>
    </w:p>
    <w:p w14:paraId="2083D2BB">
      <w:pPr>
        <w:pStyle w:val="25"/>
        <w:tabs>
          <w:tab w:val="right" w:leader="dot" w:pos="9638"/>
        </w:tabs>
        <w:rPr>
          <w:rFonts w:hint="eastAsia"/>
        </w:rPr>
      </w:pPr>
      <w:r>
        <w:fldChar w:fldCharType="begin"/>
      </w:r>
      <w:r>
        <w:instrText xml:space="preserve"> HYPERLINK \l "_Toc25167" </w:instrText>
      </w:r>
      <w:r>
        <w:fldChar w:fldCharType="separate"/>
      </w:r>
      <w:r>
        <w:rPr>
          <w:rFonts w:hint="eastAsia" w:ascii="方正小标宋简体" w:hAnsi="方正小标宋简体" w:eastAsia="方正小标宋简体" w:cs="方正小标宋简体"/>
          <w:szCs w:val="44"/>
        </w:rPr>
        <w:t>第一项 自查表</w:t>
      </w:r>
      <w:r>
        <w:tab/>
      </w:r>
      <w:r>
        <w:fldChar w:fldCharType="begin"/>
      </w:r>
      <w:r>
        <w:instrText xml:space="preserve"> PAGEREF _Toc25167 \h </w:instrText>
      </w:r>
      <w:r>
        <w:rPr>
          <w:rFonts w:hint="eastAsia"/>
        </w:rPr>
        <w:fldChar w:fldCharType="separate"/>
      </w:r>
      <w:r>
        <w:t>34</w:t>
      </w:r>
      <w:r>
        <w:fldChar w:fldCharType="end"/>
      </w:r>
      <w:r>
        <w:fldChar w:fldCharType="end"/>
      </w:r>
    </w:p>
    <w:p w14:paraId="7C380761">
      <w:pPr>
        <w:pStyle w:val="15"/>
        <w:tabs>
          <w:tab w:val="right" w:leader="dot" w:pos="9638"/>
        </w:tabs>
        <w:rPr>
          <w:rFonts w:hint="eastAsia"/>
        </w:rPr>
      </w:pPr>
      <w:r>
        <w:fldChar w:fldCharType="begin"/>
      </w:r>
      <w:r>
        <w:instrText xml:space="preserve"> HYPERLINK \l "_Toc20461" </w:instrText>
      </w:r>
      <w:r>
        <w:fldChar w:fldCharType="separate"/>
      </w:r>
      <w:r>
        <w:rPr>
          <w:rFonts w:hint="eastAsia" w:ascii="方正小标宋简体" w:hAnsi="方正小标宋简体" w:eastAsia="方正小标宋简体" w:cs="方正小标宋简体"/>
          <w:bCs/>
          <w:kern w:val="44"/>
          <w:szCs w:val="32"/>
        </w:rPr>
        <w:t>符合性审查自查表</w:t>
      </w:r>
      <w:r>
        <w:tab/>
      </w:r>
      <w:r>
        <w:fldChar w:fldCharType="begin"/>
      </w:r>
      <w:r>
        <w:instrText xml:space="preserve"> PAGEREF _Toc20461 \h </w:instrText>
      </w:r>
      <w:r>
        <w:rPr>
          <w:rFonts w:hint="eastAsia"/>
        </w:rPr>
        <w:fldChar w:fldCharType="separate"/>
      </w:r>
      <w:r>
        <w:t>35</w:t>
      </w:r>
      <w:r>
        <w:fldChar w:fldCharType="end"/>
      </w:r>
      <w:r>
        <w:fldChar w:fldCharType="end"/>
      </w:r>
    </w:p>
    <w:p w14:paraId="0C7FFDF7">
      <w:pPr>
        <w:pStyle w:val="15"/>
        <w:tabs>
          <w:tab w:val="right" w:leader="dot" w:pos="9638"/>
        </w:tabs>
        <w:rPr>
          <w:rFonts w:hint="eastAsia"/>
        </w:rPr>
      </w:pPr>
      <w:r>
        <w:fldChar w:fldCharType="begin"/>
      </w:r>
      <w:r>
        <w:instrText xml:space="preserve"> HYPERLINK \l "_Toc22940" </w:instrText>
      </w:r>
      <w:r>
        <w:fldChar w:fldCharType="separate"/>
      </w:r>
      <w:r>
        <w:rPr>
          <w:rFonts w:hint="eastAsia" w:ascii="方正小标宋简体" w:hAnsi="方正小标宋简体" w:eastAsia="方正小标宋简体" w:cs="方正小标宋简体"/>
          <w:bCs/>
          <w:kern w:val="44"/>
          <w:szCs w:val="32"/>
        </w:rPr>
        <w:t>综合评比指标佐证材料自查表</w:t>
      </w:r>
      <w:r>
        <w:tab/>
      </w:r>
      <w:r>
        <w:fldChar w:fldCharType="begin"/>
      </w:r>
      <w:r>
        <w:instrText xml:space="preserve"> PAGEREF _Toc22940 \h </w:instrText>
      </w:r>
      <w:r>
        <w:rPr>
          <w:rFonts w:hint="eastAsia"/>
        </w:rPr>
        <w:fldChar w:fldCharType="separate"/>
      </w:r>
      <w:r>
        <w:t>36</w:t>
      </w:r>
      <w:r>
        <w:fldChar w:fldCharType="end"/>
      </w:r>
      <w:r>
        <w:fldChar w:fldCharType="end"/>
      </w:r>
    </w:p>
    <w:p w14:paraId="253EAB99">
      <w:pPr>
        <w:pStyle w:val="25"/>
        <w:tabs>
          <w:tab w:val="right" w:leader="dot" w:pos="9638"/>
        </w:tabs>
        <w:rPr>
          <w:rFonts w:hint="eastAsia"/>
        </w:rPr>
      </w:pPr>
      <w:r>
        <w:fldChar w:fldCharType="begin"/>
      </w:r>
      <w:r>
        <w:instrText xml:space="preserve"> HYPERLINK \l "_Toc13157" </w:instrText>
      </w:r>
      <w:r>
        <w:fldChar w:fldCharType="separate"/>
      </w:r>
      <w:r>
        <w:rPr>
          <w:rFonts w:hint="eastAsia" w:ascii="方正小标宋简体" w:hAnsi="方正小标宋简体" w:eastAsia="方正小标宋简体" w:cs="方正小标宋简体"/>
          <w:szCs w:val="44"/>
        </w:rPr>
        <w:t>第二项 资格性及符合性文件</w:t>
      </w:r>
      <w:r>
        <w:tab/>
      </w:r>
      <w:r>
        <w:fldChar w:fldCharType="begin"/>
      </w:r>
      <w:r>
        <w:instrText xml:space="preserve"> PAGEREF _Toc13157 \h </w:instrText>
      </w:r>
      <w:r>
        <w:rPr>
          <w:rFonts w:hint="eastAsia"/>
        </w:rPr>
        <w:fldChar w:fldCharType="separate"/>
      </w:r>
      <w:r>
        <w:t>37</w:t>
      </w:r>
      <w:r>
        <w:fldChar w:fldCharType="end"/>
      </w:r>
      <w:r>
        <w:fldChar w:fldCharType="end"/>
      </w:r>
    </w:p>
    <w:p w14:paraId="7049CF44">
      <w:pPr>
        <w:pStyle w:val="15"/>
        <w:tabs>
          <w:tab w:val="right" w:leader="dot" w:pos="9638"/>
        </w:tabs>
        <w:rPr>
          <w:rFonts w:hint="eastAsia"/>
        </w:rPr>
      </w:pPr>
      <w:r>
        <w:fldChar w:fldCharType="begin"/>
      </w:r>
      <w:r>
        <w:instrText xml:space="preserve"> HYPERLINK \l "_Toc13883" </w:instrText>
      </w:r>
      <w:r>
        <w:fldChar w:fldCharType="separate"/>
      </w:r>
      <w:r>
        <w:rPr>
          <w:rFonts w:hint="eastAsia" w:ascii="方正公文小标宋" w:hAnsi="方正公文小标宋" w:eastAsia="方正公文小标宋" w:cs="方正公文小标宋"/>
          <w:szCs w:val="44"/>
        </w:rPr>
        <w:t>说明函</w:t>
      </w:r>
      <w:r>
        <w:tab/>
      </w:r>
      <w:r>
        <w:fldChar w:fldCharType="begin"/>
      </w:r>
      <w:r>
        <w:instrText xml:space="preserve"> PAGEREF _Toc13883 \h </w:instrText>
      </w:r>
      <w:r>
        <w:rPr>
          <w:rFonts w:hint="eastAsia"/>
        </w:rPr>
        <w:fldChar w:fldCharType="separate"/>
      </w:r>
      <w:r>
        <w:t>37</w:t>
      </w:r>
      <w:r>
        <w:fldChar w:fldCharType="end"/>
      </w:r>
      <w:r>
        <w:fldChar w:fldCharType="end"/>
      </w:r>
    </w:p>
    <w:p w14:paraId="5AA156DE">
      <w:pPr>
        <w:pStyle w:val="15"/>
        <w:tabs>
          <w:tab w:val="right" w:leader="dot" w:pos="9638"/>
        </w:tabs>
        <w:rPr>
          <w:rFonts w:hint="eastAsia"/>
        </w:rPr>
      </w:pPr>
      <w:r>
        <w:fldChar w:fldCharType="begin"/>
      </w:r>
      <w:r>
        <w:instrText xml:space="preserve"> HYPERLINK \l "_Toc24345" </w:instrText>
      </w:r>
      <w:r>
        <w:fldChar w:fldCharType="separate"/>
      </w:r>
      <w:r>
        <w:rPr>
          <w:rFonts w:hint="eastAsia" w:ascii="方正公文小标宋" w:hAnsi="方正公文小标宋" w:eastAsia="方正公文小标宋" w:cs="方正公文小标宋"/>
          <w:bCs/>
          <w:szCs w:val="44"/>
        </w:rPr>
        <w:t>供应商资格声明函</w:t>
      </w:r>
      <w:r>
        <w:tab/>
      </w:r>
      <w:r>
        <w:fldChar w:fldCharType="begin"/>
      </w:r>
      <w:r>
        <w:instrText xml:space="preserve"> PAGEREF _Toc24345 \h </w:instrText>
      </w:r>
      <w:r>
        <w:rPr>
          <w:rFonts w:hint="eastAsia"/>
        </w:rPr>
        <w:fldChar w:fldCharType="separate"/>
      </w:r>
      <w:r>
        <w:t>40</w:t>
      </w:r>
      <w:r>
        <w:fldChar w:fldCharType="end"/>
      </w:r>
      <w:r>
        <w:fldChar w:fldCharType="end"/>
      </w:r>
    </w:p>
    <w:p w14:paraId="7A8E6387">
      <w:pPr>
        <w:pStyle w:val="15"/>
        <w:tabs>
          <w:tab w:val="right" w:leader="dot" w:pos="9638"/>
        </w:tabs>
        <w:rPr>
          <w:rFonts w:hint="eastAsia"/>
        </w:rPr>
      </w:pPr>
      <w:r>
        <w:fldChar w:fldCharType="begin"/>
      </w:r>
      <w:r>
        <w:instrText xml:space="preserve"> HYPERLINK \l "_Toc27278" </w:instrText>
      </w:r>
      <w:r>
        <w:fldChar w:fldCharType="separate"/>
      </w:r>
      <w:r>
        <w:rPr>
          <w:rFonts w:hint="eastAsia" w:ascii="方正公文小标宋" w:hAnsi="方正公文小标宋" w:eastAsia="方正公文小标宋" w:cs="方正公文小标宋"/>
          <w:bCs/>
          <w:szCs w:val="44"/>
        </w:rPr>
        <w:t>对★采购需求响应承诺函</w:t>
      </w:r>
      <w:r>
        <w:tab/>
      </w:r>
      <w:r>
        <w:fldChar w:fldCharType="begin"/>
      </w:r>
      <w:r>
        <w:instrText xml:space="preserve"> PAGEREF _Toc27278 \h </w:instrText>
      </w:r>
      <w:r>
        <w:rPr>
          <w:rFonts w:hint="eastAsia"/>
        </w:rPr>
        <w:fldChar w:fldCharType="separate"/>
      </w:r>
      <w:r>
        <w:t>41</w:t>
      </w:r>
      <w:r>
        <w:fldChar w:fldCharType="end"/>
      </w:r>
      <w:r>
        <w:fldChar w:fldCharType="end"/>
      </w:r>
    </w:p>
    <w:p w14:paraId="438D2CED">
      <w:pPr>
        <w:pStyle w:val="25"/>
        <w:tabs>
          <w:tab w:val="right" w:leader="dot" w:pos="9638"/>
        </w:tabs>
        <w:rPr>
          <w:rFonts w:hint="eastAsia"/>
        </w:rPr>
      </w:pPr>
      <w:r>
        <w:fldChar w:fldCharType="begin"/>
      </w:r>
      <w:r>
        <w:instrText xml:space="preserve"> HYPERLINK \l "_Toc10102" </w:instrText>
      </w:r>
      <w:r>
        <w:fldChar w:fldCharType="separate"/>
      </w:r>
      <w:r>
        <w:rPr>
          <w:rFonts w:hint="eastAsia" w:ascii="方正小标宋简体" w:hAnsi="方正小标宋简体" w:eastAsia="方正小标宋简体" w:cs="方正小标宋简体"/>
          <w:szCs w:val="44"/>
        </w:rPr>
        <w:t>第三项 综合评比部分</w:t>
      </w:r>
      <w:r>
        <w:tab/>
      </w:r>
      <w:r>
        <w:fldChar w:fldCharType="begin"/>
      </w:r>
      <w:r>
        <w:instrText xml:space="preserve"> PAGEREF _Toc10102 \h </w:instrText>
      </w:r>
      <w:r>
        <w:rPr>
          <w:rFonts w:hint="eastAsia"/>
        </w:rPr>
        <w:fldChar w:fldCharType="separate"/>
      </w:r>
      <w:r>
        <w:t>43</w:t>
      </w:r>
      <w:r>
        <w:fldChar w:fldCharType="end"/>
      </w:r>
      <w:r>
        <w:fldChar w:fldCharType="end"/>
      </w:r>
    </w:p>
    <w:p w14:paraId="1A0155BE">
      <w:pPr>
        <w:pStyle w:val="15"/>
        <w:tabs>
          <w:tab w:val="right" w:leader="dot" w:pos="9638"/>
        </w:tabs>
        <w:rPr>
          <w:rFonts w:hint="eastAsia"/>
        </w:rPr>
      </w:pPr>
      <w:r>
        <w:fldChar w:fldCharType="begin"/>
      </w:r>
      <w:r>
        <w:instrText xml:space="preserve"> HYPERLINK \l "_Toc16023" </w:instrText>
      </w:r>
      <w:r>
        <w:fldChar w:fldCharType="separate"/>
      </w:r>
      <w:r>
        <w:rPr>
          <w:rFonts w:hint="eastAsia" w:ascii="Arial Unicode MS" w:hAnsi="Arial Unicode MS" w:cs="宋体"/>
          <w:szCs w:val="52"/>
        </w:rPr>
        <w:t>医疗设备报价表</w:t>
      </w:r>
      <w:r>
        <w:tab/>
      </w:r>
      <w:r>
        <w:fldChar w:fldCharType="begin"/>
      </w:r>
      <w:r>
        <w:instrText xml:space="preserve"> PAGEREF _Toc16023 \h </w:instrText>
      </w:r>
      <w:r>
        <w:rPr>
          <w:rFonts w:hint="eastAsia"/>
        </w:rPr>
        <w:fldChar w:fldCharType="separate"/>
      </w:r>
      <w:r>
        <w:t>43</w:t>
      </w:r>
      <w:r>
        <w:fldChar w:fldCharType="end"/>
      </w:r>
      <w:r>
        <w:fldChar w:fldCharType="end"/>
      </w:r>
    </w:p>
    <w:p w14:paraId="4043251A">
      <w:pPr>
        <w:adjustRightInd w:val="0"/>
        <w:snapToGrid w:val="0"/>
        <w:spacing w:line="560" w:lineRule="exact"/>
        <w:rPr>
          <w:rFonts w:ascii="Arial Unicode MS" w:hAnsi="Arial Unicode MS"/>
          <w:sz w:val="24"/>
        </w:rPr>
      </w:pPr>
      <w:r>
        <w:rPr>
          <w:rFonts w:ascii="Arial Unicode MS" w:hAnsi="Arial Unicode MS"/>
          <w:bCs/>
          <w:lang w:val="zh-CN"/>
        </w:rPr>
        <w:fldChar w:fldCharType="end"/>
      </w:r>
    </w:p>
    <w:p w14:paraId="6AF3306F">
      <w:pPr>
        <w:numPr>
          <w:ilvl w:val="0"/>
          <w:numId w:val="4"/>
        </w:numPr>
        <w:adjustRightInd w:val="0"/>
        <w:snapToGrid w:val="0"/>
        <w:spacing w:line="560" w:lineRule="exact"/>
        <w:jc w:val="center"/>
        <w:outlineLvl w:val="0"/>
        <w:rPr>
          <w:rFonts w:ascii="Arial Unicode MS" w:hAnsi="Arial Unicode MS" w:cs="宋体"/>
          <w:sz w:val="24"/>
          <w:szCs w:val="32"/>
        </w:rPr>
        <w:sectPr>
          <w:footerReference r:id="rId6" w:type="first"/>
          <w:headerReference r:id="rId3" w:type="default"/>
          <w:footerReference r:id="rId4" w:type="default"/>
          <w:footerReference r:id="rId5" w:type="even"/>
          <w:pgSz w:w="11906" w:h="16838"/>
          <w:pgMar w:top="1134" w:right="1134" w:bottom="1134" w:left="1134" w:header="851" w:footer="992" w:gutter="0"/>
          <w:pgNumType w:start="1"/>
          <w:cols w:space="720" w:num="1"/>
          <w:docGrid w:type="linesAndChars" w:linePitch="291" w:charSpace="-3913"/>
        </w:sectPr>
      </w:pPr>
    </w:p>
    <w:p w14:paraId="0E95F1F0">
      <w:pPr>
        <w:numPr>
          <w:ilvl w:val="0"/>
          <w:numId w:val="4"/>
        </w:numPr>
        <w:adjustRightInd w:val="0"/>
        <w:snapToGrid w:val="0"/>
        <w:spacing w:line="560" w:lineRule="exact"/>
        <w:jc w:val="center"/>
        <w:outlineLvl w:val="0"/>
        <w:rPr>
          <w:rFonts w:hint="eastAsia" w:ascii="方正小标宋简体" w:hAnsi="方正小标宋简体" w:eastAsia="方正小标宋简体" w:cs="方正小标宋简体"/>
          <w:sz w:val="32"/>
          <w:szCs w:val="32"/>
        </w:rPr>
      </w:pPr>
      <w:bookmarkStart w:id="1" w:name="_Toc237415636"/>
      <w:bookmarkStart w:id="2" w:name="_Toc30177"/>
      <w:r>
        <w:rPr>
          <w:rFonts w:hint="eastAsia" w:ascii="方正小标宋简体" w:hAnsi="方正小标宋简体" w:eastAsia="方正小标宋简体" w:cs="方正小标宋简体"/>
          <w:sz w:val="32"/>
          <w:szCs w:val="32"/>
        </w:rPr>
        <w:t>公告</w:t>
      </w:r>
      <w:bookmarkEnd w:id="1"/>
      <w:bookmarkEnd w:id="2"/>
    </w:p>
    <w:p w14:paraId="296F2EF9">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南方医科大学中西医结合医院308nm紫外线光疗仪设备采购项目进行院内竞磋，有关事项如下：</w:t>
      </w:r>
    </w:p>
    <w:p w14:paraId="2969D56F">
      <w:pPr>
        <w:numPr>
          <w:ilvl w:val="0"/>
          <w:numId w:val="5"/>
        </w:numPr>
        <w:adjustRightInd w:val="0"/>
        <w:snapToGrid w:val="0"/>
        <w:spacing w:line="560" w:lineRule="exact"/>
        <w:ind w:firstLine="442" w:firstLineChars="200"/>
        <w:rPr>
          <w:rFonts w:hint="eastAsia" w:ascii="黑体" w:hAnsi="黑体" w:eastAsia="黑体" w:cs="黑体"/>
          <w:sz w:val="24"/>
        </w:rPr>
      </w:pPr>
      <w:r>
        <w:rPr>
          <w:rFonts w:hint="eastAsia" w:ascii="黑体" w:hAnsi="黑体" w:eastAsia="黑体" w:cs="黑体"/>
          <w:sz w:val="24"/>
        </w:rPr>
        <w:t>采购内容如下：</w:t>
      </w:r>
    </w:p>
    <w:p w14:paraId="5C2DC808">
      <w:pPr>
        <w:pStyle w:val="7"/>
        <w:rPr>
          <w:rFonts w:eastAsia="黑体"/>
        </w:rPr>
      </w:pPr>
      <w:r>
        <w:rPr>
          <w:rFonts w:hint="eastAsia" w:ascii="黑体" w:hAnsi="黑体" w:eastAsia="黑体" w:cs="黑体"/>
          <w:sz w:val="24"/>
        </w:rPr>
        <w:t>包组一：</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0"/>
        <w:gridCol w:w="899"/>
        <w:gridCol w:w="3010"/>
        <w:gridCol w:w="2709"/>
      </w:tblGrid>
      <w:tr w14:paraId="1E28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pct"/>
          </w:tcPr>
          <w:p w14:paraId="635FCA66">
            <w:pPr>
              <w:pStyle w:val="13"/>
              <w:ind w:right="0" w:rightChars="0"/>
            </w:pPr>
            <w:r>
              <w:rPr>
                <w:rFonts w:hint="eastAsia"/>
              </w:rPr>
              <w:t>采购标的</w:t>
            </w:r>
          </w:p>
        </w:tc>
        <w:tc>
          <w:tcPr>
            <w:tcW w:w="467" w:type="pct"/>
          </w:tcPr>
          <w:p w14:paraId="6CE48FAE">
            <w:pPr>
              <w:pStyle w:val="13"/>
              <w:ind w:right="0" w:rightChars="0"/>
            </w:pPr>
            <w:r>
              <w:rPr>
                <w:rFonts w:hint="eastAsia"/>
              </w:rPr>
              <w:t>数量</w:t>
            </w:r>
          </w:p>
        </w:tc>
        <w:tc>
          <w:tcPr>
            <w:tcW w:w="1563" w:type="pct"/>
          </w:tcPr>
          <w:p w14:paraId="1769043E">
            <w:pPr>
              <w:pStyle w:val="13"/>
              <w:ind w:right="0" w:rightChars="0"/>
            </w:pPr>
            <w:r>
              <w:rPr>
                <w:rFonts w:hint="eastAsia"/>
              </w:rPr>
              <w:t>单台最高限价（元）</w:t>
            </w:r>
          </w:p>
        </w:tc>
        <w:tc>
          <w:tcPr>
            <w:tcW w:w="1407" w:type="pct"/>
          </w:tcPr>
          <w:p w14:paraId="32D48615">
            <w:pPr>
              <w:pStyle w:val="13"/>
              <w:ind w:right="0" w:rightChars="0"/>
            </w:pPr>
            <w:r>
              <w:rPr>
                <w:rFonts w:hint="eastAsia"/>
              </w:rPr>
              <w:t>总最高限价（元）</w:t>
            </w:r>
          </w:p>
        </w:tc>
      </w:tr>
      <w:tr w14:paraId="52EB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3" w:type="pct"/>
          </w:tcPr>
          <w:p w14:paraId="1682E993">
            <w:pPr>
              <w:pStyle w:val="13"/>
              <w:ind w:right="0" w:rightChars="0"/>
            </w:pPr>
            <w:r>
              <w:rPr>
                <w:rFonts w:hint="eastAsia" w:hAnsi="仿宋_GB2312" w:cs="仿宋_GB2312"/>
              </w:rPr>
              <w:t>308nm紫外线光疗仪</w:t>
            </w:r>
          </w:p>
        </w:tc>
        <w:tc>
          <w:tcPr>
            <w:tcW w:w="467" w:type="pct"/>
          </w:tcPr>
          <w:p w14:paraId="37476BF1">
            <w:pPr>
              <w:pStyle w:val="13"/>
              <w:ind w:right="0" w:rightChars="0"/>
              <w:rPr>
                <w:rFonts w:hAnsi="仿宋_GB2312" w:cs="仿宋_GB2312"/>
              </w:rPr>
            </w:pPr>
            <w:r>
              <w:rPr>
                <w:rFonts w:hint="eastAsia" w:hAnsi="仿宋_GB2312" w:cs="仿宋_GB2312"/>
              </w:rPr>
              <w:t>1</w:t>
            </w:r>
          </w:p>
        </w:tc>
        <w:tc>
          <w:tcPr>
            <w:tcW w:w="1563" w:type="pct"/>
          </w:tcPr>
          <w:p w14:paraId="4A04D797">
            <w:pPr>
              <w:pStyle w:val="13"/>
              <w:ind w:right="0" w:rightChars="0"/>
            </w:pPr>
            <w:r>
              <w:rPr>
                <w:rFonts w:hint="eastAsia"/>
              </w:rPr>
              <w:t>244300</w:t>
            </w:r>
          </w:p>
        </w:tc>
        <w:tc>
          <w:tcPr>
            <w:tcW w:w="1407" w:type="pct"/>
          </w:tcPr>
          <w:p w14:paraId="36CF89EE">
            <w:pPr>
              <w:pStyle w:val="13"/>
              <w:ind w:right="0" w:rightChars="0"/>
            </w:pPr>
            <w:r>
              <w:rPr>
                <w:rFonts w:hint="eastAsia"/>
              </w:rPr>
              <w:t>244300</w:t>
            </w:r>
          </w:p>
        </w:tc>
      </w:tr>
      <w:tr w14:paraId="4917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Pr>
          <w:p w14:paraId="28F48ECD">
            <w:pPr>
              <w:pStyle w:val="13"/>
              <w:ind w:right="0" w:rightChars="0"/>
            </w:pPr>
            <w:r>
              <w:rPr>
                <w:rFonts w:hint="eastAsia" w:hAnsi="宋体"/>
                <w:szCs w:val="24"/>
              </w:rPr>
              <w:t>总价最高限价：24.43</w:t>
            </w:r>
            <w:r>
              <w:rPr>
                <w:rFonts w:hint="eastAsia" w:ascii="宋体" w:hAnsi="宋体"/>
                <w:szCs w:val="24"/>
              </w:rPr>
              <w:t>万元</w:t>
            </w:r>
          </w:p>
        </w:tc>
      </w:tr>
    </w:tbl>
    <w:p w14:paraId="13A40E17">
      <w:pPr>
        <w:adjustRightInd w:val="0"/>
        <w:snapToGrid w:val="0"/>
        <w:spacing w:line="560" w:lineRule="exact"/>
        <w:ind w:firstLine="442" w:firstLineChars="200"/>
        <w:rPr>
          <w:rFonts w:hint="eastAsia" w:ascii="黑体" w:hAnsi="黑体" w:eastAsia="黑体" w:cs="黑体"/>
          <w:sz w:val="24"/>
        </w:rPr>
      </w:pPr>
      <w:r>
        <w:rPr>
          <w:rFonts w:hint="eastAsia" w:ascii="黑体" w:hAnsi="黑体" w:eastAsia="黑体" w:cs="黑体"/>
          <w:sz w:val="24"/>
        </w:rPr>
        <w:t>总价最高限价：人民币24.43万元。</w:t>
      </w:r>
    </w:p>
    <w:p w14:paraId="17BD3A7C">
      <w:pPr>
        <w:adjustRightInd w:val="0"/>
        <w:snapToGrid w:val="0"/>
        <w:spacing w:line="560" w:lineRule="exact"/>
        <w:ind w:firstLine="442" w:firstLineChars="200"/>
        <w:rPr>
          <w:rFonts w:hint="eastAsia" w:ascii="黑体" w:hAnsi="黑体" w:eastAsia="黑体" w:cs="黑体"/>
          <w:sz w:val="24"/>
        </w:rPr>
      </w:pPr>
      <w:r>
        <w:rPr>
          <w:rFonts w:hint="eastAsia" w:ascii="黑体" w:hAnsi="黑体" w:eastAsia="黑体" w:cs="黑体"/>
          <w:sz w:val="24"/>
        </w:rPr>
        <w:t>报价超过控制单价及总价最高限价则视为响应无效。</w:t>
      </w:r>
    </w:p>
    <w:p w14:paraId="51796E61">
      <w:pPr>
        <w:adjustRightInd w:val="0"/>
        <w:snapToGrid w:val="0"/>
        <w:spacing w:line="560" w:lineRule="exact"/>
        <w:ind w:firstLine="442" w:firstLineChars="200"/>
        <w:rPr>
          <w:rFonts w:hint="eastAsia" w:ascii="黑体" w:hAnsi="黑体" w:eastAsia="黑体" w:cs="黑体"/>
          <w:sz w:val="24"/>
        </w:rPr>
      </w:pPr>
      <w:r>
        <w:rPr>
          <w:rFonts w:hint="eastAsia" w:ascii="黑体" w:hAnsi="黑体" w:eastAsia="黑体" w:cs="黑体"/>
          <w:sz w:val="24"/>
        </w:rPr>
        <w:t>供应商必须就拟投包号项下全部设备进行报价，否则可能导致无效报价。</w:t>
      </w:r>
    </w:p>
    <w:p w14:paraId="3A8C5615">
      <w:pPr>
        <w:adjustRightInd w:val="0"/>
        <w:snapToGrid w:val="0"/>
        <w:spacing w:line="560" w:lineRule="exact"/>
        <w:ind w:firstLine="442" w:firstLineChars="200"/>
        <w:rPr>
          <w:rFonts w:ascii="仿宋_GB2312" w:hAnsi="仿宋_GB2312" w:eastAsia="仿宋_GB2312" w:cs="仿宋_GB2312"/>
          <w:sz w:val="24"/>
        </w:rPr>
      </w:pPr>
      <w:r>
        <w:rPr>
          <w:rFonts w:hint="eastAsia" w:ascii="黑体" w:hAnsi="黑体" w:eastAsia="黑体" w:cs="黑体"/>
          <w:sz w:val="24"/>
        </w:rPr>
        <w:t>二、采购方式：</w:t>
      </w:r>
      <w:r>
        <w:rPr>
          <w:rFonts w:hint="eastAsia" w:ascii="仿宋_GB2312" w:hAnsi="仿宋_GB2312" w:eastAsia="仿宋_GB2312" w:cs="仿宋_GB2312"/>
          <w:sz w:val="24"/>
        </w:rPr>
        <w:t>院内竞磋。</w:t>
      </w:r>
    </w:p>
    <w:p w14:paraId="34CF2B1D">
      <w:pPr>
        <w:adjustRightInd w:val="0"/>
        <w:snapToGrid w:val="0"/>
        <w:spacing w:line="560" w:lineRule="exact"/>
        <w:ind w:firstLine="442" w:firstLineChars="200"/>
        <w:rPr>
          <w:rFonts w:hint="eastAsia" w:ascii="黑体" w:hAnsi="黑体" w:eastAsia="黑体" w:cs="黑体"/>
          <w:sz w:val="24"/>
        </w:rPr>
      </w:pPr>
      <w:r>
        <w:rPr>
          <w:rFonts w:hint="eastAsia" w:ascii="黑体" w:hAnsi="黑体" w:eastAsia="黑体" w:cs="黑体"/>
          <w:sz w:val="24"/>
        </w:rPr>
        <w:t>三、报名要求：</w:t>
      </w:r>
    </w:p>
    <w:p w14:paraId="0AB5B5F4">
      <w:pPr>
        <w:adjustRightInd w:val="0"/>
        <w:snapToGrid w:val="0"/>
        <w:spacing w:line="560" w:lineRule="exact"/>
        <w:ind w:firstLine="420"/>
        <w:rPr>
          <w:rFonts w:ascii="仿宋_GB2312" w:hAnsi="仿宋_GB2312" w:eastAsia="仿宋_GB2312" w:cs="仿宋_GB2312"/>
          <w:sz w:val="24"/>
          <w:lang w:val="zh-CN"/>
        </w:rPr>
      </w:pPr>
      <w:r>
        <w:rPr>
          <w:rFonts w:hint="eastAsia" w:ascii="仿宋_GB2312" w:hAnsi="仿宋_GB2312" w:eastAsia="仿宋_GB2312" w:cs="仿宋_GB2312"/>
          <w:sz w:val="24"/>
          <w:lang w:val="zh-CN"/>
        </w:rPr>
        <w:t>1.供应商应具备以下规定的条件，并提供下列材料：</w:t>
      </w:r>
    </w:p>
    <w:p w14:paraId="781210E1">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1）具有独立承担民事责任的能力：提供在中华人民共和国境内注册的法人或其他组织的营业执照或事业单位法人证书或社会团体法人登记证书复印件，如响应人为自然人的提供自然人身份证明复印件；如国家另有规定的，则从其规定。（如供应商为分支机构，须取得具有法人资格的总公司（总所）出具给分支机构的授权书，并提供总公司（总所）和分支机构的营业执照（执业许可证）扫描件；已由总公司（总所）授权的，总公司（总所）取得的相关资质证书对分支机构有效，法律法规或者行业另有规定的除外）</w:t>
      </w:r>
    </w:p>
    <w:p w14:paraId="681E6D44">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（2）有依法缴纳税收和社会保障资金的良好记录：提供《供应商资格声明函》。</w:t>
      </w:r>
    </w:p>
    <w:p w14:paraId="7252A856">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（3）具有良好的商业信誉和健全的财务会计制度：提供《供应商资格声明函》。</w:t>
      </w:r>
    </w:p>
    <w:p w14:paraId="6810D4E4">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（4）具有履行合同所必须的设备和专业技术能力：提供《供应商资格声明函》。</w:t>
      </w:r>
    </w:p>
    <w:p w14:paraId="68C40D29">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5）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供应商资格声明函》。</w:t>
      </w:r>
    </w:p>
    <w:p w14:paraId="4439D209">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2.信用记录：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人于响应截止时间当天在“信用中国”网站（www.creditchina.gov.cn）及中国政府采购网（http://www.ccgp.gov.cn/）查询结果为准，如相关失信记录已失效，供应商需提供相关证明资料）。</w:t>
      </w:r>
    </w:p>
    <w:p w14:paraId="793B6B92">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3.供应商必须符合法律、行政法规规定的其他条件：</w:t>
      </w:r>
    </w:p>
    <w:p w14:paraId="779ACB1A">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（1）单位负责人为同一人或者存在直接控股、管理关系的不同供应商，不得同时参加本采购项目（采购包）响应。提供《供应商资格声明函》。</w:t>
      </w:r>
    </w:p>
    <w:p w14:paraId="086EA972">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（2）为本项目提供整体设计、规范编制或者项目管理、监理、检测等服务的供应商，不得再参与本项目（采购包）响应。提供《供应商资格声明函》。</w:t>
      </w:r>
    </w:p>
    <w:p w14:paraId="18673DC7">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（3）供应商已按采购公告的规定获取了采购文件。</w:t>
      </w:r>
    </w:p>
    <w:p w14:paraId="4BB9BA15">
      <w:pPr>
        <w:adjustRightInd w:val="0"/>
        <w:snapToGrid w:val="0"/>
        <w:spacing w:line="560" w:lineRule="exact"/>
        <w:ind w:firstLine="442" w:firstLineChars="200"/>
        <w:rPr>
          <w:rFonts w:ascii="仿宋_GB2312" w:hAnsi="仿宋_GB2312" w:eastAsia="仿宋_GB2312" w:cs="仿宋_GB2312"/>
          <w:sz w:val="24"/>
          <w:lang w:val="zh-CN"/>
        </w:rPr>
      </w:pPr>
      <w:r>
        <w:rPr>
          <w:rFonts w:hint="eastAsia" w:ascii="仿宋_GB2312" w:hAnsi="仿宋_GB2312" w:eastAsia="仿宋_GB2312" w:cs="仿宋_GB2312"/>
          <w:sz w:val="24"/>
          <w:lang w:val="zh-CN"/>
        </w:rPr>
        <w:t>（4）本项目不接受联合体响应。</w:t>
      </w:r>
    </w:p>
    <w:p w14:paraId="2F2499B6">
      <w:pPr>
        <w:pStyle w:val="13"/>
        <w:ind w:firstLine="420"/>
        <w:jc w:val="both"/>
        <w:rPr>
          <w:rFonts w:hAnsi="仿宋_GB2312" w:cs="仿宋_GB2312"/>
        </w:rPr>
      </w:pPr>
      <w:r>
        <w:rPr>
          <w:rFonts w:hint="eastAsia" w:hAnsi="仿宋_GB2312" w:cs="仿宋_GB2312"/>
        </w:rPr>
        <w:t>4.供应商需满足的其他条件：</w:t>
      </w:r>
    </w:p>
    <w:p w14:paraId="2A29AC0B">
      <w:pPr>
        <w:pStyle w:val="13"/>
        <w:ind w:firstLine="420"/>
        <w:jc w:val="both"/>
        <w:rPr>
          <w:rFonts w:hAnsi="仿宋_GB2312" w:cs="仿宋_GB2312"/>
          <w:lang w:val="zh-CN"/>
        </w:rPr>
      </w:pPr>
      <w:r>
        <w:rPr>
          <w:rFonts w:hint="eastAsia" w:hAnsi="仿宋_GB2312" w:cs="仿宋_GB2312"/>
          <w:lang w:val="zh-CN"/>
        </w:rPr>
        <w:t>（1）如响应人为生产企业：所投产品为第一类医疗器械，提供监督管理部门签发的有效的《医疗器械生产备案凭证》复印件</w:t>
      </w:r>
      <w:r>
        <w:rPr>
          <w:rFonts w:hint="eastAsia" w:hAnsi="仿宋_GB2312" w:cs="仿宋_GB2312"/>
        </w:rPr>
        <w:t>或供应商资质响应承诺函（模板见后文）</w:t>
      </w:r>
      <w:r>
        <w:rPr>
          <w:rFonts w:hint="eastAsia" w:hAnsi="仿宋_GB2312" w:cs="仿宋_GB2312"/>
          <w:lang w:val="zh-CN"/>
        </w:rPr>
        <w:t>；</w:t>
      </w:r>
    </w:p>
    <w:p w14:paraId="1BB9DC11">
      <w:pPr>
        <w:pStyle w:val="13"/>
        <w:ind w:firstLine="420"/>
        <w:jc w:val="both"/>
        <w:rPr>
          <w:rFonts w:hAnsi="仿宋_GB2312" w:cs="仿宋_GB2312"/>
          <w:lang w:val="zh-CN"/>
        </w:rPr>
      </w:pPr>
      <w:r>
        <w:rPr>
          <w:rFonts w:hint="eastAsia" w:hAnsi="仿宋_GB2312" w:cs="仿宋_GB2312"/>
          <w:lang w:val="zh-CN"/>
        </w:rPr>
        <w:t>（2）如响应人为生产企业：所投产品为第二、三类医疗器械，提供监督管理部门签发的有效的《医疗器械生产许可证》复印件；</w:t>
      </w:r>
    </w:p>
    <w:p w14:paraId="443C4940">
      <w:pPr>
        <w:pStyle w:val="13"/>
        <w:ind w:firstLine="420"/>
        <w:jc w:val="both"/>
        <w:rPr>
          <w:rFonts w:hAnsi="仿宋_GB2312" w:cs="仿宋_GB2312"/>
          <w:lang w:val="zh-CN"/>
        </w:rPr>
      </w:pPr>
      <w:r>
        <w:rPr>
          <w:rFonts w:hint="eastAsia" w:hAnsi="仿宋_GB2312" w:cs="仿宋_GB2312"/>
          <w:lang w:val="zh-CN"/>
        </w:rPr>
        <w:t>（3）如响应人为经营企业：所投产品为第三类医疗器械，提供监督管理部门签发的有效的《医疗器械经营许可证》复印件；</w:t>
      </w:r>
    </w:p>
    <w:p w14:paraId="57D2E441">
      <w:pPr>
        <w:pStyle w:val="13"/>
        <w:ind w:firstLine="420"/>
        <w:jc w:val="both"/>
        <w:rPr>
          <w:rFonts w:hAnsi="仿宋_GB2312" w:cs="仿宋_GB2312"/>
          <w:lang w:val="zh-CN"/>
        </w:rPr>
      </w:pPr>
      <w:r>
        <w:rPr>
          <w:rFonts w:hint="eastAsia" w:hAnsi="仿宋_GB2312" w:cs="仿宋_GB2312"/>
          <w:lang w:val="zh-CN"/>
        </w:rPr>
        <w:t>（4）如响应人为经营企业：所投产品为第二类医疗器械，响应时提供监督管理部门签发的有效的《医疗器械经营备案凭证》复印件</w:t>
      </w:r>
      <w:r>
        <w:rPr>
          <w:rFonts w:hint="eastAsia" w:hAnsi="仿宋_GB2312" w:cs="仿宋_GB2312"/>
        </w:rPr>
        <w:t>或</w:t>
      </w:r>
      <w:r>
        <w:rPr>
          <w:rFonts w:hint="eastAsia" w:hAnsi="仿宋_GB2312" w:cs="仿宋_GB2312"/>
          <w:lang w:val="zh-CN"/>
        </w:rPr>
        <w:t>供应商资质响应承诺函</w:t>
      </w:r>
      <w:r>
        <w:rPr>
          <w:rFonts w:hint="eastAsia" w:hAnsi="仿宋_GB2312" w:cs="仿宋_GB2312"/>
        </w:rPr>
        <w:t>（模板见后文）</w:t>
      </w:r>
      <w:r>
        <w:rPr>
          <w:rFonts w:hint="eastAsia" w:hAnsi="仿宋_GB2312" w:cs="仿宋_GB2312"/>
          <w:lang w:val="zh-CN"/>
        </w:rPr>
        <w:t>；</w:t>
      </w:r>
    </w:p>
    <w:p w14:paraId="508B80CE">
      <w:pPr>
        <w:pStyle w:val="13"/>
        <w:ind w:firstLine="420"/>
        <w:jc w:val="both"/>
        <w:rPr>
          <w:rFonts w:hAnsi="仿宋_GB2312" w:cs="仿宋_GB2312"/>
          <w:lang w:val="zh-CN"/>
        </w:rPr>
      </w:pPr>
      <w:r>
        <w:rPr>
          <w:rFonts w:hint="eastAsia" w:hAnsi="仿宋_GB2312" w:cs="仿宋_GB2312"/>
          <w:lang w:val="zh-CN"/>
        </w:rPr>
        <w:t>（5）如所投产品属于第二类、第三类医疗器械，则必须提供有效的医疗器械注册证明复印件。</w:t>
      </w:r>
    </w:p>
    <w:p w14:paraId="12D94DF5">
      <w:pPr>
        <w:spacing w:line="500" w:lineRule="exact"/>
        <w:ind w:left="380"/>
        <w:jc w:val="left"/>
        <w:rPr>
          <w:rFonts w:hint="eastAsia" w:ascii="仿宋" w:hAnsi="仿宋" w:eastAsia="仿宋" w:cs="仿宋"/>
          <w:sz w:val="24"/>
          <w:lang w:val="zh-CN"/>
        </w:rPr>
      </w:pPr>
      <w:r>
        <w:rPr>
          <w:rFonts w:hint="eastAsia" w:ascii="黑体" w:hAnsi="黑体" w:eastAsia="黑体" w:cs="黑体"/>
          <w:sz w:val="24"/>
          <w:lang w:val="zh-CN"/>
        </w:rPr>
        <w:t>四、报名方式</w:t>
      </w:r>
      <w:r>
        <w:rPr>
          <w:rFonts w:hint="eastAsia" w:ascii="仿宋" w:hAnsi="仿宋" w:eastAsia="仿宋" w:cs="仿宋"/>
          <w:sz w:val="24"/>
          <w:lang w:val="zh-CN"/>
        </w:rPr>
        <w:t>：</w:t>
      </w:r>
    </w:p>
    <w:p w14:paraId="359071CB">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采用网上报名，报名时间：</w:t>
      </w:r>
      <w:r>
        <w:fldChar w:fldCharType="begin"/>
      </w:r>
      <w:r>
        <w:instrText xml:space="preserve"> HYPERLINK "mailto:2022年11月24日-2022年11月30日，请将报名资料扫描件发邮箱740318685@qq.com。" </w:instrText>
      </w:r>
      <w:r>
        <w:fldChar w:fldCharType="separate"/>
      </w:r>
      <w:r>
        <w:rPr>
          <w:rFonts w:hint="eastAsia" w:ascii="仿宋_GB2312" w:hAnsi="仿宋_GB2312" w:eastAsia="仿宋_GB2312" w:cs="仿宋_GB2312"/>
          <w:sz w:val="24"/>
        </w:rPr>
        <w:t>2026年</w:t>
      </w:r>
      <w:r>
        <w:rPr>
          <w:rFonts w:hint="eastAsia" w:ascii="仿宋_GB2312" w:hAnsi="仿宋_GB2312" w:eastAsia="仿宋_GB2312" w:cs="仿宋_GB2312"/>
          <w:sz w:val="24"/>
          <w:u w:val="single"/>
          <w:lang w:val="en-US" w:eastAsia="zh-CN"/>
        </w:rPr>
        <w:t>9</w:t>
      </w:r>
      <w:r>
        <w:rPr>
          <w:rFonts w:hint="eastAsia" w:ascii="仿宋_GB2312" w:hAnsi="仿宋_GB2312" w:eastAsia="仿宋_GB2312" w:cs="仿宋_GB2312"/>
          <w:sz w:val="24"/>
        </w:rPr>
        <w:t>月</w:t>
      </w:r>
      <w:r>
        <w:rPr>
          <w:rFonts w:hint="eastAsia" w:ascii="仿宋_GB2312" w:hAnsi="仿宋_GB2312" w:eastAsia="仿宋_GB2312" w:cs="仿宋_GB2312"/>
          <w:sz w:val="24"/>
          <w:u w:val="single"/>
          <w:lang w:val="en-US" w:eastAsia="zh-CN"/>
        </w:rPr>
        <w:t>9</w:t>
      </w:r>
      <w:r>
        <w:rPr>
          <w:rFonts w:hint="eastAsia" w:ascii="仿宋_GB2312" w:hAnsi="仿宋_GB2312" w:eastAsia="仿宋_GB2312" w:cs="仿宋_GB2312"/>
          <w:sz w:val="24"/>
        </w:rPr>
        <w:t>日-2026年</w:t>
      </w:r>
      <w:r>
        <w:rPr>
          <w:rFonts w:hint="eastAsia" w:ascii="仿宋_GB2312" w:hAnsi="仿宋_GB2312" w:eastAsia="仿宋_GB2312" w:cs="仿宋_GB2312"/>
          <w:sz w:val="24"/>
          <w:u w:val="single"/>
          <w:lang w:val="en-US" w:eastAsia="zh-CN"/>
        </w:rPr>
        <w:t>9</w:t>
      </w:r>
      <w:r>
        <w:rPr>
          <w:rFonts w:hint="eastAsia" w:ascii="仿宋_GB2312" w:hAnsi="仿宋_GB2312" w:eastAsia="仿宋_GB2312" w:cs="仿宋_GB2312"/>
          <w:sz w:val="24"/>
        </w:rPr>
        <w:t>月</w:t>
      </w:r>
      <w:r>
        <w:rPr>
          <w:rFonts w:hint="eastAsia" w:ascii="仿宋_GB2312" w:hAnsi="仿宋_GB2312" w:eastAsia="仿宋_GB2312" w:cs="仿宋_GB2312"/>
          <w:sz w:val="24"/>
          <w:u w:val="single"/>
          <w:lang w:val="en-US" w:eastAsia="zh-CN"/>
        </w:rPr>
        <w:t>14</w:t>
      </w:r>
      <w:r>
        <w:rPr>
          <w:rFonts w:hint="eastAsia" w:ascii="仿宋_GB2312" w:hAnsi="仿宋_GB2312" w:eastAsia="仿宋_GB2312" w:cs="仿宋_GB2312"/>
          <w:sz w:val="24"/>
        </w:rPr>
        <w:t>日</w:t>
      </w:r>
      <w:r>
        <w:rPr>
          <w:rFonts w:hint="eastAsia" w:ascii="仿宋_GB2312" w:hAnsi="仿宋_GB2312" w:eastAsia="仿宋_GB2312" w:cs="仿宋_GB2312"/>
          <w:sz w:val="24"/>
          <w:lang w:val="en-US" w:eastAsia="zh-CN"/>
        </w:rPr>
        <w:t>17:00</w:t>
      </w:r>
      <w:r>
        <w:rPr>
          <w:rFonts w:hint="eastAsia" w:ascii="仿宋_GB2312" w:hAnsi="仿宋_GB2312" w:eastAsia="仿宋_GB2312" w:cs="仿宋_GB2312"/>
          <w:sz w:val="24"/>
        </w:rPr>
        <w:t>，请将填写报名登记表盖章并连同报名资料（营业执照、“信用中国”网站（www.creditchina.gov.cn）及中国政府采购网（http://www.ccgp.gov.cn/查询结果扫描件）发邮箱</w:t>
      </w:r>
      <w:r>
        <w:rPr>
          <w:rFonts w:hint="eastAsia" w:ascii="仿宋_GB2312" w:hAnsi="仿宋_GB2312" w:eastAsia="仿宋_GB2312" w:cs="仿宋_GB2312"/>
          <w:sz w:val="24"/>
          <w:u w:val="single"/>
        </w:rPr>
        <w:t>nfzxy_zbb@126.com</w:t>
      </w:r>
      <w:r>
        <w:rPr>
          <w:rFonts w:hint="eastAsia" w:ascii="仿宋_GB2312" w:hAnsi="仿宋_GB2312" w:eastAsia="仿宋_GB2312" w:cs="仿宋_GB2312"/>
          <w:sz w:val="24"/>
        </w:rPr>
        <w:t>，逾期不再接受报名。</w:t>
      </w:r>
      <w:r>
        <w:rPr>
          <w:rFonts w:hint="eastAsia" w:ascii="仿宋_GB2312" w:hAnsi="仿宋_GB2312" w:eastAsia="仿宋_GB2312" w:cs="仿宋_GB2312"/>
          <w:sz w:val="24"/>
        </w:rPr>
        <w:fldChar w:fldCharType="end"/>
      </w:r>
    </w:p>
    <w:p w14:paraId="016A3EA9">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竞磋文件电子版见附件。</w:t>
      </w:r>
    </w:p>
    <w:p w14:paraId="63F27890">
      <w:pPr>
        <w:adjustRightInd w:val="0"/>
        <w:snapToGrid w:val="0"/>
        <w:spacing w:line="560" w:lineRule="exact"/>
        <w:ind w:firstLine="442" w:firstLineChars="200"/>
        <w:rPr>
          <w:rFonts w:hint="eastAsia" w:ascii="黑体" w:hAnsi="黑体" w:eastAsia="黑体" w:cs="黑体"/>
          <w:sz w:val="24"/>
        </w:rPr>
      </w:pPr>
      <w:r>
        <w:rPr>
          <w:rFonts w:hint="eastAsia" w:ascii="黑体" w:hAnsi="黑体" w:eastAsia="黑体" w:cs="黑体"/>
          <w:sz w:val="24"/>
        </w:rPr>
        <w:t>五、参选文件的递交：</w:t>
      </w:r>
    </w:p>
    <w:p w14:paraId="68081BBB">
      <w:pPr>
        <w:numPr>
          <w:ilvl w:val="0"/>
          <w:numId w:val="6"/>
        </w:num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递交截止时间：2026年</w:t>
      </w:r>
      <w:r>
        <w:rPr>
          <w:rFonts w:hint="eastAsia" w:ascii="仿宋_GB2312" w:hAnsi="仿宋_GB2312" w:eastAsia="仿宋_GB2312" w:cs="仿宋_GB2312"/>
          <w:sz w:val="24"/>
          <w:u w:val="single"/>
          <w:lang w:val="en-US" w:eastAsia="zh-CN"/>
        </w:rPr>
        <w:t>9</w:t>
      </w:r>
      <w:r>
        <w:rPr>
          <w:rFonts w:hint="eastAsia" w:ascii="仿宋_GB2312" w:hAnsi="仿宋_GB2312" w:eastAsia="仿宋_GB2312" w:cs="仿宋_GB2312"/>
          <w:sz w:val="24"/>
        </w:rPr>
        <w:t>月</w:t>
      </w:r>
      <w:r>
        <w:rPr>
          <w:rFonts w:hint="eastAsia" w:ascii="仿宋_GB2312" w:hAnsi="仿宋_GB2312" w:eastAsia="仿宋_GB2312" w:cs="仿宋_GB2312"/>
          <w:sz w:val="24"/>
          <w:u w:val="single"/>
          <w:lang w:val="en-US" w:eastAsia="zh-CN"/>
        </w:rPr>
        <w:t>17</w:t>
      </w:r>
      <w:r>
        <w:rPr>
          <w:rFonts w:hint="eastAsia" w:ascii="仿宋_GB2312" w:hAnsi="仿宋_GB2312" w:eastAsia="仿宋_GB2312" w:cs="仿宋_GB2312"/>
          <w:sz w:val="24"/>
        </w:rPr>
        <w:t>日</w:t>
      </w:r>
      <w:r>
        <w:rPr>
          <w:rFonts w:hint="eastAsia" w:ascii="仿宋_GB2312" w:hAnsi="仿宋_GB2312" w:eastAsia="仿宋_GB2312" w:cs="仿宋_GB2312"/>
          <w:sz w:val="24"/>
          <w:lang w:val="en-US" w:eastAsia="zh-CN"/>
        </w:rPr>
        <w:t>9:00</w:t>
      </w:r>
      <w:r>
        <w:rPr>
          <w:rFonts w:hint="eastAsia" w:ascii="仿宋_GB2312" w:hAnsi="仿宋_GB2312" w:eastAsia="仿宋_GB2312" w:cs="仿宋_GB2312"/>
          <w:sz w:val="24"/>
        </w:rPr>
        <w:t>时同时开展竞磋谈判会；逾期不再接受。</w:t>
      </w:r>
    </w:p>
    <w:p w14:paraId="1A1CBE10">
      <w:pPr>
        <w:numPr>
          <w:ilvl w:val="0"/>
          <w:numId w:val="6"/>
        </w:num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递交地点：</w:t>
      </w:r>
      <w:r>
        <w:rPr>
          <w:rFonts w:hint="eastAsia" w:ascii="仿宋_GB2312" w:hAnsi="仿宋_GB2312" w:eastAsia="仿宋_GB2312" w:cs="仿宋_GB2312"/>
          <w:sz w:val="24"/>
          <w:u w:val="single"/>
        </w:rPr>
        <w:t>广州市海珠区石榴岗13号南方医科大学中西医结合医院行政楼三楼西会议室</w:t>
      </w:r>
    </w:p>
    <w:p w14:paraId="5BB41938">
      <w:pPr>
        <w:widowControl/>
        <w:tabs>
          <w:tab w:val="left" w:pos="1092"/>
        </w:tabs>
        <w:ind w:left="1322"/>
        <w:jc w:val="left"/>
        <w:rPr>
          <w:rFonts w:ascii="仿宋_GB2312" w:hAnsi="仿宋_GB2312" w:eastAsia="仿宋_GB2312" w:cs="仿宋_GB2312"/>
          <w:sz w:val="24"/>
          <w:u w:val="single"/>
        </w:rPr>
      </w:pPr>
      <w:r>
        <w:rPr>
          <w:rFonts w:hint="eastAsia" w:ascii="仿宋_GB2312" w:hAnsi="仿宋_GB2312" w:eastAsia="仿宋_GB2312" w:cs="仿宋_GB2312"/>
          <w:kern w:val="0"/>
          <w:sz w:val="24"/>
        </w:rPr>
        <w:t>联系人：</w:t>
      </w:r>
      <w:r>
        <w:rPr>
          <w:rFonts w:hint="eastAsia" w:ascii="仿宋_GB2312" w:hAnsi="仿宋_GB2312" w:eastAsia="仿宋_GB2312" w:cs="仿宋_GB2312"/>
          <w:kern w:val="0"/>
          <w:sz w:val="24"/>
          <w:lang w:val="en-US" w:eastAsia="zh-CN"/>
        </w:rPr>
        <w:t>严</w:t>
      </w:r>
      <w:r>
        <w:rPr>
          <w:rFonts w:hint="eastAsia" w:ascii="仿宋_GB2312" w:hAnsi="仿宋_GB2312" w:eastAsia="仿宋_GB2312" w:cs="仿宋_GB2312"/>
          <w:kern w:val="0"/>
          <w:sz w:val="24"/>
          <w:u w:val="single"/>
        </w:rPr>
        <w:t>老师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电话：</w:t>
      </w:r>
      <w:r>
        <w:rPr>
          <w:rFonts w:hint="eastAsia" w:ascii="仿宋_GB2312" w:hAnsi="仿宋_GB2312" w:eastAsia="仿宋_GB2312" w:cs="仿宋_GB2312"/>
          <w:sz w:val="24"/>
          <w:u w:val="single"/>
        </w:rPr>
        <w:t xml:space="preserve"> 020616500</w:t>
      </w:r>
      <w:r>
        <w:rPr>
          <w:rFonts w:hint="eastAsia" w:ascii="仿宋_GB2312" w:hAnsi="仿宋_GB2312" w:eastAsia="仿宋_GB2312" w:cs="仿宋_GB2312"/>
          <w:sz w:val="24"/>
          <w:u w:val="single"/>
          <w:lang w:val="en-US" w:eastAsia="zh-CN"/>
        </w:rPr>
        <w:t>73</w:t>
      </w:r>
      <w:r>
        <w:rPr>
          <w:rFonts w:hint="eastAsia" w:ascii="仿宋_GB2312" w:hAnsi="仿宋_GB2312" w:eastAsia="仿宋_GB2312" w:cs="仿宋_GB2312"/>
          <w:sz w:val="24"/>
          <w:u w:val="single"/>
        </w:rPr>
        <w:t xml:space="preserve">  </w:t>
      </w:r>
    </w:p>
    <w:p w14:paraId="27385608">
      <w:pPr>
        <w:adjustRightInd w:val="0"/>
        <w:snapToGrid w:val="0"/>
        <w:spacing w:line="560" w:lineRule="exact"/>
        <w:ind w:firstLine="442" w:firstLineChars="200"/>
        <w:rPr>
          <w:rFonts w:hint="eastAsia" w:ascii="黑体" w:hAnsi="黑体" w:eastAsia="黑体" w:cs="黑体"/>
          <w:sz w:val="24"/>
        </w:rPr>
      </w:pPr>
      <w:r>
        <w:rPr>
          <w:rFonts w:hint="eastAsia" w:ascii="黑体" w:hAnsi="黑体" w:eastAsia="黑体" w:cs="黑体"/>
          <w:sz w:val="24"/>
        </w:rPr>
        <w:t>六、采购人联系方式：</w:t>
      </w:r>
    </w:p>
    <w:p w14:paraId="37493ED5">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联系人：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任</w:t>
      </w:r>
      <w:r>
        <w:rPr>
          <w:rFonts w:hint="eastAsia" w:ascii="仿宋_GB2312" w:hAnsi="仿宋_GB2312" w:eastAsia="仿宋_GB2312" w:cs="仿宋_GB2312"/>
          <w:sz w:val="24"/>
          <w:u w:val="single"/>
        </w:rPr>
        <w:t xml:space="preserve">老师 </w:t>
      </w:r>
      <w:r>
        <w:rPr>
          <w:rFonts w:hint="eastAsia" w:ascii="仿宋_GB2312" w:hAnsi="仿宋_GB2312" w:eastAsia="仿宋_GB2312" w:cs="仿宋_GB2312"/>
          <w:sz w:val="24"/>
        </w:rPr>
        <w:t xml:space="preserve"> 电话：</w:t>
      </w:r>
      <w:r>
        <w:rPr>
          <w:rFonts w:hint="eastAsia" w:ascii="仿宋_GB2312" w:hAnsi="仿宋_GB2312" w:eastAsia="仿宋_GB2312" w:cs="仿宋_GB2312"/>
          <w:sz w:val="24"/>
          <w:u w:val="single"/>
        </w:rPr>
        <w:t xml:space="preserve"> 020-616500</w:t>
      </w:r>
      <w:r>
        <w:rPr>
          <w:rFonts w:hint="eastAsia" w:ascii="仿宋_GB2312" w:hAnsi="仿宋_GB2312" w:eastAsia="仿宋_GB2312" w:cs="仿宋_GB2312"/>
          <w:sz w:val="24"/>
          <w:u w:val="single"/>
          <w:lang w:val="en-US" w:eastAsia="zh-CN"/>
        </w:rPr>
        <w:t>81</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p>
    <w:p w14:paraId="0FFC47A0">
      <w:pPr>
        <w:adjustRightInd w:val="0"/>
        <w:snapToGrid w:val="0"/>
        <w:spacing w:line="560" w:lineRule="exact"/>
        <w:ind w:firstLine="442" w:firstLineChars="200"/>
        <w:jc w:val="right"/>
        <w:rPr>
          <w:rFonts w:ascii="仿宋_GB2312" w:hAnsi="仿宋_GB2312" w:eastAsia="仿宋_GB2312" w:cs="仿宋_GB2312"/>
          <w:sz w:val="24"/>
        </w:rPr>
      </w:pPr>
    </w:p>
    <w:p w14:paraId="5C547B39">
      <w:pPr>
        <w:adjustRightInd w:val="0"/>
        <w:snapToGrid w:val="0"/>
        <w:spacing w:line="560" w:lineRule="exact"/>
        <w:ind w:firstLine="442"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南方医科大学中西医结合医院</w:t>
      </w:r>
    </w:p>
    <w:p w14:paraId="30081918">
      <w:pPr>
        <w:adjustRightInd w:val="0"/>
        <w:snapToGrid w:val="0"/>
        <w:spacing w:line="560" w:lineRule="exact"/>
        <w:ind w:firstLine="442" w:firstLineChars="200"/>
        <w:jc w:val="right"/>
        <w:rPr>
          <w:rFonts w:ascii="仿宋_GB2312" w:hAnsi="仿宋_GB2312" w:eastAsia="仿宋_GB2312" w:cs="仿宋_GB2312"/>
          <w:sz w:val="24"/>
        </w:rPr>
        <w:sectPr>
          <w:pgSz w:w="11906" w:h="16838"/>
          <w:pgMar w:top="1134" w:right="1134" w:bottom="1134" w:left="1134" w:header="851" w:footer="992" w:gutter="0"/>
          <w:pgNumType w:start="1"/>
          <w:cols w:space="720" w:num="1"/>
          <w:titlePg/>
          <w:docGrid w:type="linesAndChars" w:linePitch="291" w:charSpace="-3913"/>
        </w:sectPr>
      </w:pPr>
      <w:r>
        <w:rPr>
          <w:rFonts w:hint="eastAsia" w:ascii="仿宋_GB2312" w:hAnsi="仿宋_GB2312" w:eastAsia="仿宋_GB2312" w:cs="仿宋_GB2312"/>
          <w:sz w:val="24"/>
        </w:rPr>
        <w:t xml:space="preserve">                                       2026年</w:t>
      </w:r>
      <w:r>
        <w:rPr>
          <w:rFonts w:hint="eastAsia" w:ascii="仿宋_GB2312" w:hAnsi="仿宋_GB2312" w:eastAsia="仿宋_GB2312" w:cs="仿宋_GB2312"/>
          <w:sz w:val="24"/>
          <w:u w:val="single"/>
          <w:lang w:val="en-US" w:eastAsia="zh-CN"/>
        </w:rPr>
        <w:t>9</w:t>
      </w:r>
      <w:r>
        <w:rPr>
          <w:rFonts w:hint="eastAsia" w:ascii="仿宋_GB2312" w:hAnsi="仿宋_GB2312" w:eastAsia="仿宋_GB2312" w:cs="仿宋_GB2312"/>
          <w:sz w:val="24"/>
        </w:rPr>
        <w:t>月</w:t>
      </w:r>
      <w:r>
        <w:rPr>
          <w:rFonts w:hint="eastAsia" w:ascii="仿宋_GB2312" w:hAnsi="仿宋_GB2312" w:eastAsia="仿宋_GB2312" w:cs="仿宋_GB2312"/>
          <w:sz w:val="24"/>
          <w:u w:val="single"/>
          <w:lang w:val="en-US" w:eastAsia="zh-CN"/>
        </w:rPr>
        <w:t>9</w:t>
      </w:r>
      <w:r>
        <w:rPr>
          <w:rFonts w:hint="eastAsia" w:ascii="仿宋_GB2312" w:hAnsi="仿宋_GB2312" w:eastAsia="仿宋_GB2312" w:cs="仿宋_GB2312"/>
          <w:sz w:val="24"/>
        </w:rPr>
        <w:t>日</w:t>
      </w:r>
    </w:p>
    <w:p w14:paraId="41B769F6">
      <w:pPr>
        <w:tabs>
          <w:tab w:val="left" w:pos="840"/>
        </w:tabs>
        <w:adjustRightInd w:val="0"/>
        <w:snapToGrid w:val="0"/>
        <w:spacing w:line="560" w:lineRule="exact"/>
        <w:ind w:firstLine="442" w:firstLineChars="200"/>
        <w:rPr>
          <w:rFonts w:hint="eastAsia" w:ascii="黑体" w:hAnsi="黑体" w:eastAsia="黑体" w:cs="黑体"/>
          <w:sz w:val="24"/>
        </w:rPr>
      </w:pPr>
      <w:r>
        <w:rPr>
          <w:rFonts w:hint="eastAsia" w:ascii="黑体" w:hAnsi="黑体" w:eastAsia="黑体" w:cs="黑体"/>
          <w:sz w:val="24"/>
        </w:rPr>
        <w:t>七、附件：</w:t>
      </w:r>
    </w:p>
    <w:p w14:paraId="3468DDB5">
      <w:pPr>
        <w:adjustRightInd w:val="0"/>
        <w:snapToGrid w:val="0"/>
        <w:spacing w:line="560" w:lineRule="exact"/>
        <w:jc w:val="center"/>
        <w:rPr>
          <w:rFonts w:hint="eastAsia" w:ascii="楷体" w:hAnsi="楷体" w:eastAsia="楷体" w:cs="楷体"/>
          <w:sz w:val="28"/>
          <w:szCs w:val="28"/>
        </w:rPr>
      </w:pPr>
    </w:p>
    <w:p w14:paraId="360E2C57">
      <w:pPr>
        <w:adjustRightInd w:val="0"/>
        <w:snapToGrid w:val="0"/>
        <w:spacing w:line="560" w:lineRule="exact"/>
        <w:jc w:val="center"/>
        <w:rPr>
          <w:rFonts w:hint="eastAsia" w:ascii="楷体" w:hAnsi="楷体" w:eastAsia="楷体" w:cs="楷体"/>
          <w:sz w:val="28"/>
          <w:szCs w:val="28"/>
        </w:rPr>
      </w:pPr>
      <w:r>
        <w:rPr>
          <w:rFonts w:hint="eastAsia" w:ascii="楷体" w:hAnsi="楷体" w:eastAsia="楷体" w:cs="楷体"/>
          <w:sz w:val="28"/>
          <w:szCs w:val="28"/>
        </w:rPr>
        <w:t>南方医科大学中西医结合医院308nm紫外线光疗仪设备采购项目报名登记表</w:t>
      </w:r>
    </w:p>
    <w:tbl>
      <w:tblPr>
        <w:tblStyle w:val="32"/>
        <w:tblpPr w:leftFromText="180" w:rightFromText="180" w:vertAnchor="text" w:horzAnchor="page" w:tblpX="1240" w:tblpY="45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693"/>
        <w:gridCol w:w="1605"/>
        <w:gridCol w:w="1714"/>
        <w:gridCol w:w="1793"/>
        <w:gridCol w:w="2047"/>
      </w:tblGrid>
      <w:tr w14:paraId="3E23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278" w:type="pct"/>
            <w:gridSpan w:val="2"/>
            <w:vAlign w:val="center"/>
          </w:tcPr>
          <w:p w14:paraId="58C7D94D">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项目名称</w:t>
            </w:r>
          </w:p>
        </w:tc>
        <w:tc>
          <w:tcPr>
            <w:tcW w:w="1726" w:type="pct"/>
            <w:gridSpan w:val="2"/>
            <w:vAlign w:val="center"/>
          </w:tcPr>
          <w:p w14:paraId="05E834B2">
            <w:pPr>
              <w:adjustRightInd w:val="0"/>
              <w:snapToGrid w:val="0"/>
              <w:spacing w:line="560" w:lineRule="exact"/>
              <w:jc w:val="center"/>
              <w:rPr>
                <w:rFonts w:ascii="仿宋_GB2312" w:hAnsi="仿宋_GB2312" w:eastAsia="仿宋_GB2312" w:cs="仿宋_GB2312"/>
                <w:sz w:val="24"/>
              </w:rPr>
            </w:pPr>
          </w:p>
        </w:tc>
        <w:tc>
          <w:tcPr>
            <w:tcW w:w="932" w:type="pct"/>
            <w:vAlign w:val="center"/>
          </w:tcPr>
          <w:p w14:paraId="383A3C59">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报名日期</w:t>
            </w:r>
          </w:p>
        </w:tc>
        <w:tc>
          <w:tcPr>
            <w:tcW w:w="1064" w:type="pct"/>
            <w:vAlign w:val="center"/>
          </w:tcPr>
          <w:p w14:paraId="2D29F834">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年   月   日</w:t>
            </w:r>
          </w:p>
        </w:tc>
      </w:tr>
      <w:tr w14:paraId="4821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397" w:type="pct"/>
            <w:vMerge w:val="restart"/>
            <w:textDirection w:val="tbRlV"/>
            <w:vAlign w:val="center"/>
          </w:tcPr>
          <w:p w14:paraId="77381B36">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报 名 人 资 料</w:t>
            </w:r>
          </w:p>
        </w:tc>
        <w:tc>
          <w:tcPr>
            <w:tcW w:w="881" w:type="pct"/>
            <w:vAlign w:val="center"/>
          </w:tcPr>
          <w:p w14:paraId="3E78EDB7">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报名单位</w:t>
            </w:r>
          </w:p>
          <w:p w14:paraId="40444C23">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名称（盖章）</w:t>
            </w:r>
          </w:p>
        </w:tc>
        <w:tc>
          <w:tcPr>
            <w:tcW w:w="1726" w:type="pct"/>
            <w:gridSpan w:val="2"/>
            <w:vAlign w:val="center"/>
          </w:tcPr>
          <w:p w14:paraId="1729BF92">
            <w:pPr>
              <w:tabs>
                <w:tab w:val="left" w:pos="765"/>
              </w:tabs>
              <w:adjustRightInd w:val="0"/>
              <w:snapToGrid w:val="0"/>
              <w:spacing w:line="560" w:lineRule="exact"/>
              <w:jc w:val="center"/>
              <w:rPr>
                <w:rFonts w:ascii="仿宋_GB2312" w:hAnsi="仿宋_GB2312" w:eastAsia="仿宋_GB2312" w:cs="仿宋_GB2312"/>
                <w:bCs/>
                <w:sz w:val="24"/>
              </w:rPr>
            </w:pPr>
          </w:p>
        </w:tc>
        <w:tc>
          <w:tcPr>
            <w:tcW w:w="932" w:type="pct"/>
            <w:vAlign w:val="center"/>
          </w:tcPr>
          <w:p w14:paraId="37A70A3F">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纳税人识别号</w:t>
            </w:r>
          </w:p>
          <w:p w14:paraId="1E40F44C">
            <w:pPr>
              <w:tabs>
                <w:tab w:val="left" w:pos="765"/>
              </w:tabs>
              <w:adjustRightInd w:val="0"/>
              <w:snapToGrid w:val="0"/>
              <w:spacing w:line="560" w:lineRule="exact"/>
              <w:jc w:val="center"/>
              <w:rPr>
                <w:rFonts w:ascii="仿宋_GB2312" w:hAnsi="仿宋_GB2312" w:eastAsia="仿宋_GB2312" w:cs="仿宋_GB2312"/>
                <w:bCs/>
                <w:sz w:val="24"/>
              </w:rPr>
            </w:pPr>
            <w:r>
              <w:rPr>
                <w:rFonts w:hint="eastAsia" w:ascii="仿宋_GB2312" w:hAnsi="仿宋_GB2312" w:eastAsia="仿宋_GB2312" w:cs="仿宋_GB2312"/>
                <w:sz w:val="24"/>
              </w:rPr>
              <w:t>（必填）</w:t>
            </w:r>
          </w:p>
        </w:tc>
        <w:tc>
          <w:tcPr>
            <w:tcW w:w="1064" w:type="pct"/>
            <w:vAlign w:val="center"/>
          </w:tcPr>
          <w:p w14:paraId="3CE8C02E">
            <w:pPr>
              <w:tabs>
                <w:tab w:val="left" w:pos="765"/>
              </w:tabs>
              <w:adjustRightInd w:val="0"/>
              <w:snapToGrid w:val="0"/>
              <w:spacing w:line="560" w:lineRule="exact"/>
              <w:jc w:val="center"/>
              <w:rPr>
                <w:rFonts w:ascii="仿宋_GB2312" w:hAnsi="仿宋_GB2312" w:eastAsia="仿宋_GB2312" w:cs="仿宋_GB2312"/>
                <w:sz w:val="24"/>
              </w:rPr>
            </w:pPr>
          </w:p>
        </w:tc>
      </w:tr>
      <w:tr w14:paraId="2453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397" w:type="pct"/>
            <w:vMerge w:val="continue"/>
            <w:vAlign w:val="center"/>
          </w:tcPr>
          <w:p w14:paraId="48CCCFB6">
            <w:pPr>
              <w:tabs>
                <w:tab w:val="left" w:pos="765"/>
              </w:tabs>
              <w:adjustRightInd w:val="0"/>
              <w:snapToGrid w:val="0"/>
              <w:spacing w:line="560" w:lineRule="exact"/>
              <w:jc w:val="center"/>
              <w:rPr>
                <w:rFonts w:ascii="仿宋_GB2312" w:hAnsi="仿宋_GB2312" w:eastAsia="仿宋_GB2312" w:cs="仿宋_GB2312"/>
                <w:sz w:val="24"/>
              </w:rPr>
            </w:pPr>
          </w:p>
        </w:tc>
        <w:tc>
          <w:tcPr>
            <w:tcW w:w="881" w:type="pct"/>
            <w:vAlign w:val="center"/>
          </w:tcPr>
          <w:p w14:paraId="744960D1">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地址</w:t>
            </w:r>
          </w:p>
        </w:tc>
        <w:tc>
          <w:tcPr>
            <w:tcW w:w="3722" w:type="pct"/>
            <w:gridSpan w:val="4"/>
            <w:vAlign w:val="center"/>
          </w:tcPr>
          <w:p w14:paraId="3E141AC0">
            <w:pPr>
              <w:tabs>
                <w:tab w:val="left" w:pos="765"/>
              </w:tabs>
              <w:adjustRightInd w:val="0"/>
              <w:snapToGrid w:val="0"/>
              <w:spacing w:line="560" w:lineRule="exact"/>
              <w:jc w:val="center"/>
              <w:rPr>
                <w:rFonts w:ascii="仿宋_GB2312" w:hAnsi="仿宋_GB2312" w:eastAsia="仿宋_GB2312" w:cs="仿宋_GB2312"/>
                <w:sz w:val="24"/>
                <w:vertAlign w:val="subscript"/>
              </w:rPr>
            </w:pPr>
          </w:p>
        </w:tc>
      </w:tr>
      <w:tr w14:paraId="095A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397" w:type="pct"/>
            <w:vMerge w:val="continue"/>
            <w:vAlign w:val="center"/>
          </w:tcPr>
          <w:p w14:paraId="228317C5">
            <w:pPr>
              <w:tabs>
                <w:tab w:val="left" w:pos="765"/>
              </w:tabs>
              <w:adjustRightInd w:val="0"/>
              <w:snapToGrid w:val="0"/>
              <w:spacing w:line="560" w:lineRule="exact"/>
              <w:jc w:val="center"/>
              <w:rPr>
                <w:rFonts w:ascii="仿宋_GB2312" w:hAnsi="仿宋_GB2312" w:eastAsia="仿宋_GB2312" w:cs="仿宋_GB2312"/>
                <w:sz w:val="24"/>
              </w:rPr>
            </w:pPr>
          </w:p>
        </w:tc>
        <w:tc>
          <w:tcPr>
            <w:tcW w:w="881" w:type="pct"/>
            <w:vMerge w:val="restart"/>
            <w:vAlign w:val="center"/>
          </w:tcPr>
          <w:p w14:paraId="1A33A8E0">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报名联系人</w:t>
            </w:r>
          </w:p>
        </w:tc>
        <w:tc>
          <w:tcPr>
            <w:tcW w:w="835" w:type="pct"/>
            <w:vAlign w:val="center"/>
          </w:tcPr>
          <w:p w14:paraId="4AE257B7">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891" w:type="pct"/>
            <w:vAlign w:val="center"/>
          </w:tcPr>
          <w:p w14:paraId="684BE61D">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固定电话</w:t>
            </w:r>
          </w:p>
        </w:tc>
        <w:tc>
          <w:tcPr>
            <w:tcW w:w="932" w:type="pct"/>
            <w:vAlign w:val="center"/>
          </w:tcPr>
          <w:p w14:paraId="42C7D02F">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邮箱</w:t>
            </w:r>
          </w:p>
        </w:tc>
        <w:tc>
          <w:tcPr>
            <w:tcW w:w="1064" w:type="pct"/>
            <w:vAlign w:val="center"/>
          </w:tcPr>
          <w:p w14:paraId="068A7943">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手机</w:t>
            </w:r>
          </w:p>
        </w:tc>
      </w:tr>
      <w:tr w14:paraId="6B6B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397" w:type="pct"/>
            <w:vMerge w:val="continue"/>
            <w:vAlign w:val="center"/>
          </w:tcPr>
          <w:p w14:paraId="79651841">
            <w:pPr>
              <w:tabs>
                <w:tab w:val="left" w:pos="765"/>
              </w:tabs>
              <w:adjustRightInd w:val="0"/>
              <w:snapToGrid w:val="0"/>
              <w:spacing w:line="560" w:lineRule="exact"/>
              <w:jc w:val="center"/>
              <w:rPr>
                <w:rFonts w:ascii="仿宋_GB2312" w:hAnsi="仿宋_GB2312" w:eastAsia="仿宋_GB2312" w:cs="仿宋_GB2312"/>
                <w:sz w:val="24"/>
              </w:rPr>
            </w:pPr>
          </w:p>
        </w:tc>
        <w:tc>
          <w:tcPr>
            <w:tcW w:w="881" w:type="pct"/>
            <w:vMerge w:val="continue"/>
            <w:vAlign w:val="center"/>
          </w:tcPr>
          <w:p w14:paraId="36607FEF">
            <w:pPr>
              <w:tabs>
                <w:tab w:val="left" w:pos="765"/>
              </w:tabs>
              <w:adjustRightInd w:val="0"/>
              <w:snapToGrid w:val="0"/>
              <w:spacing w:line="560" w:lineRule="exact"/>
              <w:jc w:val="center"/>
              <w:rPr>
                <w:rFonts w:ascii="仿宋_GB2312" w:hAnsi="仿宋_GB2312" w:eastAsia="仿宋_GB2312" w:cs="仿宋_GB2312"/>
                <w:sz w:val="24"/>
              </w:rPr>
            </w:pPr>
          </w:p>
        </w:tc>
        <w:tc>
          <w:tcPr>
            <w:tcW w:w="835" w:type="pct"/>
            <w:vAlign w:val="center"/>
          </w:tcPr>
          <w:p w14:paraId="2F18B34A">
            <w:pPr>
              <w:tabs>
                <w:tab w:val="left" w:pos="765"/>
              </w:tabs>
              <w:adjustRightInd w:val="0"/>
              <w:snapToGrid w:val="0"/>
              <w:spacing w:line="560" w:lineRule="exact"/>
              <w:jc w:val="center"/>
              <w:rPr>
                <w:rFonts w:ascii="仿宋_GB2312" w:hAnsi="仿宋_GB2312" w:eastAsia="仿宋_GB2312" w:cs="仿宋_GB2312"/>
                <w:sz w:val="24"/>
              </w:rPr>
            </w:pPr>
          </w:p>
        </w:tc>
        <w:tc>
          <w:tcPr>
            <w:tcW w:w="891" w:type="pct"/>
            <w:vAlign w:val="center"/>
          </w:tcPr>
          <w:p w14:paraId="61A2F1F3">
            <w:pPr>
              <w:tabs>
                <w:tab w:val="left" w:pos="765"/>
              </w:tabs>
              <w:adjustRightInd w:val="0"/>
              <w:snapToGrid w:val="0"/>
              <w:spacing w:line="560" w:lineRule="exact"/>
              <w:jc w:val="center"/>
              <w:rPr>
                <w:rFonts w:ascii="仿宋_GB2312" w:hAnsi="仿宋_GB2312" w:eastAsia="仿宋_GB2312" w:cs="仿宋_GB2312"/>
                <w:sz w:val="24"/>
              </w:rPr>
            </w:pPr>
          </w:p>
        </w:tc>
        <w:tc>
          <w:tcPr>
            <w:tcW w:w="932" w:type="pct"/>
            <w:vAlign w:val="center"/>
          </w:tcPr>
          <w:p w14:paraId="4328EFD6">
            <w:pPr>
              <w:tabs>
                <w:tab w:val="left" w:pos="765"/>
              </w:tabs>
              <w:adjustRightInd w:val="0"/>
              <w:snapToGrid w:val="0"/>
              <w:spacing w:line="560" w:lineRule="exact"/>
              <w:jc w:val="center"/>
              <w:rPr>
                <w:rFonts w:ascii="仿宋_GB2312" w:hAnsi="仿宋_GB2312" w:eastAsia="仿宋_GB2312" w:cs="仿宋_GB2312"/>
                <w:sz w:val="24"/>
              </w:rPr>
            </w:pPr>
          </w:p>
        </w:tc>
        <w:tc>
          <w:tcPr>
            <w:tcW w:w="1064" w:type="pct"/>
            <w:vAlign w:val="center"/>
          </w:tcPr>
          <w:p w14:paraId="1485C88D">
            <w:pPr>
              <w:tabs>
                <w:tab w:val="left" w:pos="765"/>
              </w:tabs>
              <w:adjustRightInd w:val="0"/>
              <w:snapToGrid w:val="0"/>
              <w:spacing w:line="560" w:lineRule="exact"/>
              <w:jc w:val="center"/>
              <w:rPr>
                <w:rFonts w:ascii="仿宋_GB2312" w:hAnsi="仿宋_GB2312" w:eastAsia="仿宋_GB2312" w:cs="仿宋_GB2312"/>
                <w:sz w:val="24"/>
              </w:rPr>
            </w:pPr>
          </w:p>
        </w:tc>
      </w:tr>
      <w:tr w14:paraId="37E8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397" w:type="pct"/>
            <w:vAlign w:val="center"/>
          </w:tcPr>
          <w:p w14:paraId="154B3453">
            <w:pPr>
              <w:tabs>
                <w:tab w:val="left" w:pos="765"/>
              </w:tabs>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备注</w:t>
            </w:r>
          </w:p>
        </w:tc>
        <w:tc>
          <w:tcPr>
            <w:tcW w:w="4603" w:type="pct"/>
            <w:gridSpan w:val="5"/>
            <w:vAlign w:val="center"/>
          </w:tcPr>
          <w:p w14:paraId="012307A2">
            <w:pPr>
              <w:tabs>
                <w:tab w:val="left" w:pos="-96"/>
              </w:tabs>
              <w:adjustRightInd w:val="0"/>
              <w:snapToGrid w:val="0"/>
              <w:spacing w:line="560" w:lineRule="exact"/>
              <w:rPr>
                <w:rFonts w:ascii="仿宋_GB2312" w:hAnsi="仿宋_GB2312" w:eastAsia="仿宋_GB2312" w:cs="仿宋_GB2312"/>
                <w:sz w:val="24"/>
              </w:rPr>
            </w:pPr>
          </w:p>
        </w:tc>
      </w:tr>
    </w:tbl>
    <w:p w14:paraId="6D166748">
      <w:pPr>
        <w:adjustRightInd w:val="0"/>
        <w:snapToGrid w:val="0"/>
        <w:spacing w:line="560" w:lineRule="exact"/>
        <w:rPr>
          <w:rFonts w:ascii="Arial Unicode MS" w:hAnsi="Arial Unicode MS"/>
          <w:sz w:val="24"/>
        </w:rPr>
        <w:sectPr>
          <w:pgSz w:w="11906" w:h="16838"/>
          <w:pgMar w:top="1134" w:right="1134" w:bottom="1134" w:left="1134" w:header="851" w:footer="992" w:gutter="0"/>
          <w:pgNumType w:start="1"/>
          <w:cols w:space="720" w:num="1"/>
          <w:titlePg/>
          <w:docGrid w:type="linesAndChars" w:linePitch="291" w:charSpace="-3913"/>
        </w:sectPr>
      </w:pPr>
    </w:p>
    <w:p w14:paraId="0F853536">
      <w:pPr>
        <w:adjustRightInd w:val="0"/>
        <w:snapToGrid w:val="0"/>
        <w:spacing w:line="560" w:lineRule="exact"/>
        <w:jc w:val="center"/>
        <w:outlineLvl w:val="0"/>
        <w:rPr>
          <w:rFonts w:hint="eastAsia" w:ascii="方正小标宋简体" w:hAnsi="方正小标宋简体" w:eastAsia="方正小标宋简体" w:cs="方正小标宋简体"/>
          <w:sz w:val="32"/>
          <w:szCs w:val="32"/>
        </w:rPr>
      </w:pPr>
      <w:bookmarkStart w:id="3" w:name="_Toc2339"/>
      <w:bookmarkStart w:id="4" w:name="_Toc237415637"/>
      <w:r>
        <w:rPr>
          <w:rFonts w:hint="eastAsia" w:ascii="方正小标宋简体" w:hAnsi="方正小标宋简体" w:eastAsia="方正小标宋简体" w:cs="方正小标宋简体"/>
          <w:sz w:val="32"/>
          <w:szCs w:val="32"/>
        </w:rPr>
        <w:t>用户需求书</w:t>
      </w:r>
      <w:bookmarkEnd w:id="3"/>
      <w:bookmarkEnd w:id="4"/>
    </w:p>
    <w:p w14:paraId="04571C6E">
      <w:pPr>
        <w:snapToGrid w:val="0"/>
        <w:spacing w:line="360" w:lineRule="auto"/>
        <w:outlineLvl w:val="1"/>
        <w:rPr>
          <w:rFonts w:hint="eastAsia" w:ascii="宋体" w:hAnsi="宋体" w:cs="宋体"/>
          <w:b/>
          <w:bCs/>
        </w:rPr>
      </w:pPr>
      <w:bookmarkStart w:id="5" w:name="_Toc26620"/>
      <w:bookmarkStart w:id="6" w:name="_Toc237415638"/>
      <w:bookmarkStart w:id="7" w:name="_Toc2150"/>
      <w:bookmarkStart w:id="8" w:name="_Toc29813"/>
      <w:r>
        <w:rPr>
          <w:rFonts w:hint="eastAsia" w:ascii="宋体" w:hAnsi="宋体" w:cs="宋体"/>
          <w:b/>
          <w:bCs/>
        </w:rPr>
        <w:t>投标说明：</w:t>
      </w:r>
      <w:bookmarkEnd w:id="5"/>
      <w:bookmarkEnd w:id="6"/>
      <w:r>
        <w:rPr>
          <w:rFonts w:hint="eastAsia" w:ascii="宋体" w:hAnsi="宋体" w:cs="宋体"/>
          <w:b/>
          <w:bCs/>
        </w:rPr>
        <w:t xml:space="preserve"> </w:t>
      </w:r>
    </w:p>
    <w:p w14:paraId="1CEA6A33">
      <w:pPr>
        <w:snapToGrid w:val="0"/>
        <w:spacing w:line="360" w:lineRule="auto"/>
        <w:outlineLvl w:val="1"/>
        <w:rPr>
          <w:rFonts w:hint="eastAsia" w:ascii="宋体" w:hAnsi="宋体" w:cs="宋体"/>
          <w:b/>
          <w:bCs/>
        </w:rPr>
      </w:pPr>
      <w:bookmarkStart w:id="9" w:name="_Toc237415639"/>
      <w:bookmarkStart w:id="10" w:name="_Toc6404"/>
      <w:r>
        <w:rPr>
          <w:rFonts w:ascii="宋体" w:hAnsi="宋体" w:cs="宋体"/>
          <w:b/>
          <w:bCs/>
        </w:rPr>
        <w:t>1.</w:t>
      </w:r>
      <w:r>
        <w:rPr>
          <w:rFonts w:hint="eastAsia" w:ascii="宋体" w:hAnsi="宋体" w:cs="宋体"/>
          <w:b/>
          <w:bCs/>
        </w:rPr>
        <w:t>供应商必须对采购包内所有采购内容或服务进行整体响应，任何只对采购包内部分内容进行响应都被视为无效响应。</w:t>
      </w:r>
      <w:bookmarkEnd w:id="9"/>
      <w:bookmarkEnd w:id="10"/>
    </w:p>
    <w:p w14:paraId="67F8EFE1">
      <w:pPr>
        <w:tabs>
          <w:tab w:val="left" w:pos="1145"/>
        </w:tabs>
        <w:snapToGrid w:val="0"/>
        <w:spacing w:line="360" w:lineRule="auto"/>
        <w:rPr>
          <w:rFonts w:hint="eastAsia" w:ascii="宋体" w:hAnsi="宋体" w:cs="宋体"/>
          <w:b/>
          <w:bCs/>
        </w:rPr>
      </w:pPr>
      <w:r>
        <w:rPr>
          <w:rFonts w:ascii="宋体" w:hAnsi="宋体" w:cs="宋体"/>
          <w:b/>
          <w:bCs/>
        </w:rPr>
        <w:t>2.</w:t>
      </w:r>
      <w:r>
        <w:rPr>
          <w:rFonts w:hint="eastAsia" w:ascii="宋体" w:hAnsi="宋体" w:cs="宋体"/>
          <w:b/>
          <w:bCs/>
        </w:rPr>
        <w:t>采购文件中加注“★”的条款均被视为</w:t>
      </w:r>
      <w:bookmarkStart w:id="11" w:name="_Hlk53778668"/>
      <w:r>
        <w:rPr>
          <w:rFonts w:hint="eastAsia" w:ascii="宋体" w:hAnsi="宋体" w:cs="宋体"/>
          <w:b/>
          <w:bCs/>
        </w:rPr>
        <w:t>必须实质性响应的条款</w:t>
      </w:r>
      <w:bookmarkEnd w:id="11"/>
      <w:r>
        <w:rPr>
          <w:rFonts w:hint="eastAsia" w:ascii="宋体" w:hAnsi="宋体" w:cs="宋体"/>
          <w:b/>
          <w:bCs/>
        </w:rPr>
        <w:t>，供应商要特别加以注意，必须对此响应并完全满足或优于这些条款，否则若有一项加注“★”的条款未响应或不满足，则响应文件将被认定为无效响应。</w:t>
      </w:r>
    </w:p>
    <w:p w14:paraId="54178445">
      <w:pPr>
        <w:tabs>
          <w:tab w:val="left" w:pos="1145"/>
        </w:tabs>
        <w:snapToGrid w:val="0"/>
        <w:spacing w:line="360" w:lineRule="auto"/>
        <w:rPr>
          <w:rFonts w:hint="eastAsia" w:ascii="宋体" w:hAnsi="宋体" w:cs="宋体"/>
          <w:b/>
          <w:bCs/>
        </w:rPr>
      </w:pPr>
      <w:r>
        <w:rPr>
          <w:rFonts w:ascii="宋体" w:hAnsi="宋体" w:cs="宋体"/>
          <w:b/>
          <w:bCs/>
        </w:rPr>
        <w:t>3.</w:t>
      </w:r>
      <w:r>
        <w:rPr>
          <w:rFonts w:hint="eastAsia" w:ascii="宋体" w:hAnsi="宋体" w:cs="宋体"/>
          <w:b/>
          <w:bCs/>
        </w:rPr>
        <w:t>采购文件中加注“▲”号的条款为重要技术参数，若有部分“▲”条款未响应或不满足，将导致其响应性评审加重扣分，但不作为无效响应条款。</w:t>
      </w:r>
    </w:p>
    <w:p w14:paraId="0A4A5844">
      <w:pPr>
        <w:tabs>
          <w:tab w:val="left" w:pos="1145"/>
        </w:tabs>
        <w:snapToGrid w:val="0"/>
        <w:spacing w:line="360" w:lineRule="auto"/>
        <w:rPr>
          <w:rFonts w:hint="eastAsia" w:ascii="宋体" w:hAnsi="宋体" w:cs="宋体"/>
          <w:b/>
          <w:bCs/>
        </w:rPr>
      </w:pPr>
    </w:p>
    <w:p w14:paraId="76714F71">
      <w:pPr>
        <w:numPr>
          <w:ilvl w:val="0"/>
          <w:numId w:val="7"/>
        </w:numPr>
        <w:spacing w:line="300" w:lineRule="auto"/>
        <w:jc w:val="left"/>
        <w:rPr>
          <w:rFonts w:hint="eastAsia" w:ascii="宋体" w:hAnsi="宋体" w:cs="宋体"/>
          <w:b/>
          <w:szCs w:val="21"/>
        </w:rPr>
      </w:pPr>
      <w:r>
        <w:rPr>
          <w:rFonts w:hint="eastAsia" w:ascii="宋体" w:hAnsi="宋体" w:cs="宋体"/>
          <w:b/>
          <w:szCs w:val="21"/>
        </w:rPr>
        <w:t>★采购标的： A02320800物理治疗、康复及体育治疗仪器设备，采购数量：</w:t>
      </w:r>
      <w:r>
        <w:rPr>
          <w:rFonts w:hint="eastAsia" w:ascii="宋体" w:hAnsi="宋体" w:cs="宋体"/>
          <w:bCs/>
          <w:szCs w:val="21"/>
        </w:rPr>
        <w:t>1台件</w:t>
      </w:r>
      <w:r>
        <w:rPr>
          <w:rFonts w:hint="eastAsia" w:ascii="宋体" w:hAnsi="宋体" w:cs="宋体"/>
          <w:b/>
          <w:szCs w:val="21"/>
        </w:rPr>
        <w:t>，采购控制价</w:t>
      </w:r>
      <w:r>
        <w:rPr>
          <w:rFonts w:hint="eastAsia" w:ascii="宋体" w:hAnsi="宋体" w:cs="宋体"/>
          <w:bCs/>
          <w:szCs w:val="21"/>
        </w:rPr>
        <w:t>24.43万元。</w:t>
      </w:r>
    </w:p>
    <w:p w14:paraId="74019C08">
      <w:pPr>
        <w:numPr>
          <w:ilvl w:val="0"/>
          <w:numId w:val="7"/>
        </w:numPr>
        <w:spacing w:line="300" w:lineRule="auto"/>
        <w:jc w:val="left"/>
        <w:rPr>
          <w:rFonts w:hint="eastAsia" w:ascii="宋体" w:hAnsi="宋体" w:cs="宋体"/>
          <w:b/>
          <w:szCs w:val="21"/>
        </w:rPr>
      </w:pPr>
      <w:r>
        <w:rPr>
          <w:rFonts w:hint="eastAsia" w:ascii="宋体" w:hAnsi="宋体" w:cs="宋体"/>
          <w:b/>
          <w:szCs w:val="21"/>
        </w:rPr>
        <w:t>★供货期限：</w:t>
      </w:r>
      <w:r>
        <w:rPr>
          <w:rFonts w:hint="eastAsia" w:ascii="宋体" w:hAnsi="宋体" w:cs="宋体"/>
          <w:bCs/>
          <w:szCs w:val="21"/>
        </w:rPr>
        <w:t>自合同签订后15个工作日内完成所有货物的到货、安装调试并交付采购人试运行。</w:t>
      </w:r>
    </w:p>
    <w:p w14:paraId="7CCBD404">
      <w:pPr>
        <w:numPr>
          <w:ilvl w:val="0"/>
          <w:numId w:val="7"/>
        </w:numPr>
        <w:spacing w:line="300" w:lineRule="auto"/>
        <w:jc w:val="left"/>
        <w:rPr>
          <w:rFonts w:hint="eastAsia" w:ascii="宋体" w:hAnsi="宋体" w:cs="宋体"/>
          <w:b/>
          <w:szCs w:val="21"/>
        </w:rPr>
      </w:pPr>
      <w:r>
        <w:rPr>
          <w:rFonts w:hint="eastAsia" w:ascii="宋体" w:hAnsi="宋体" w:cs="宋体"/>
          <w:b/>
          <w:szCs w:val="21"/>
        </w:rPr>
        <w:t>技术参数与配置清单：</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708"/>
        <w:gridCol w:w="535"/>
        <w:gridCol w:w="3725"/>
        <w:gridCol w:w="1627"/>
        <w:gridCol w:w="2337"/>
      </w:tblGrid>
      <w:tr w14:paraId="3800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6" w:type="dxa"/>
            <w:gridSpan w:val="2"/>
            <w:shd w:val="clear" w:color="auto" w:fill="auto"/>
            <w:noWrap/>
            <w:vAlign w:val="center"/>
          </w:tcPr>
          <w:p w14:paraId="5CAF09AA">
            <w:pPr>
              <w:spacing w:line="300" w:lineRule="auto"/>
              <w:jc w:val="center"/>
              <w:rPr>
                <w:rFonts w:hint="eastAsia" w:ascii="Times New Roman" w:hAnsi="Times New Roman" w:eastAsia="宋体" w:cs="Times New Roman"/>
                <w:b/>
                <w:kern w:val="2"/>
                <w:sz w:val="21"/>
                <w:szCs w:val="21"/>
                <w:highlight w:val="none"/>
                <w:lang w:val="en-US" w:eastAsia="zh-CN" w:bidi="ar-SA"/>
              </w:rPr>
            </w:pPr>
            <w:r>
              <w:rPr>
                <w:rFonts w:hint="eastAsia"/>
                <w:b/>
                <w:szCs w:val="21"/>
                <w:highlight w:val="none"/>
              </w:rPr>
              <w:t>参数性质</w:t>
            </w:r>
          </w:p>
        </w:tc>
        <w:tc>
          <w:tcPr>
            <w:tcW w:w="8224" w:type="dxa"/>
            <w:gridSpan w:val="4"/>
            <w:shd w:val="clear" w:color="auto" w:fill="auto"/>
            <w:noWrap/>
            <w:vAlign w:val="center"/>
          </w:tcPr>
          <w:p w14:paraId="4D129854">
            <w:pPr>
              <w:spacing w:line="300" w:lineRule="auto"/>
              <w:jc w:val="center"/>
              <w:rPr>
                <w:rFonts w:hint="default" w:ascii="Times New Roman" w:hAnsi="Times New Roman" w:eastAsia="宋体" w:cs="Times New Roman"/>
                <w:b/>
                <w:kern w:val="2"/>
                <w:sz w:val="21"/>
                <w:szCs w:val="21"/>
                <w:highlight w:val="none"/>
                <w:lang w:val="en-US" w:eastAsia="zh-CN" w:bidi="ar-SA"/>
              </w:rPr>
            </w:pPr>
            <w:r>
              <w:rPr>
                <w:rFonts w:hint="eastAsia"/>
                <w:b/>
                <w:szCs w:val="21"/>
                <w:highlight w:val="none"/>
                <w:lang w:val="en-US" w:eastAsia="zh-CN"/>
              </w:rPr>
              <w:t>响应文件要求</w:t>
            </w:r>
          </w:p>
        </w:tc>
      </w:tr>
      <w:tr w14:paraId="281F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346" w:type="dxa"/>
            <w:gridSpan w:val="2"/>
            <w:shd w:val="clear" w:color="auto" w:fill="auto"/>
            <w:noWrap/>
            <w:vAlign w:val="center"/>
          </w:tcPr>
          <w:p w14:paraId="33547E83">
            <w:pPr>
              <w:spacing w:line="300" w:lineRule="auto"/>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w:t>
            </w:r>
          </w:p>
        </w:tc>
        <w:tc>
          <w:tcPr>
            <w:tcW w:w="8224" w:type="dxa"/>
            <w:gridSpan w:val="4"/>
            <w:shd w:val="clear" w:color="auto" w:fill="auto"/>
            <w:noWrap/>
            <w:vAlign w:val="center"/>
          </w:tcPr>
          <w:p w14:paraId="5B9BBDEB">
            <w:pPr>
              <w:spacing w:line="300" w:lineRule="auto"/>
              <w:jc w:val="both"/>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投标时需提供投标产品使用说明书扫描件、或相应技术参数的厂家技术白皮书（datasheet）扫描件、或第三方机构出具的质量认可材料扫描件、或第三方机构的检验报告扫描件中的任意一项作为技术证明文件佐证。如条款另有特别注明，则以该条款的特别注明为准，无需再按上述要求重复提供证明文件。</w:t>
            </w:r>
            <w:r>
              <w:rPr>
                <w:rFonts w:hint="eastAsia" w:ascii="宋体" w:hAnsi="宋体" w:cs="宋体"/>
                <w:bCs/>
                <w:szCs w:val="21"/>
                <w:highlight w:val="none"/>
                <w:lang w:eastAsia="zh-CN"/>
              </w:rPr>
              <w:t>【</w:t>
            </w:r>
            <w:r>
              <w:rPr>
                <w:rFonts w:hint="eastAsia" w:ascii="宋体" w:hAnsi="宋体" w:cs="宋体"/>
                <w:bCs/>
                <w:szCs w:val="21"/>
                <w:highlight w:val="none"/>
              </w:rPr>
              <w:t>请在证明文件的所在页中作出明显的标记(例如用红色方框标记或划圈等)以便明确响应情况】。</w:t>
            </w:r>
          </w:p>
        </w:tc>
      </w:tr>
      <w:tr w14:paraId="69C9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6" w:type="dxa"/>
            <w:gridSpan w:val="2"/>
            <w:shd w:val="clear" w:color="auto" w:fill="auto"/>
            <w:noWrap/>
            <w:vAlign w:val="center"/>
          </w:tcPr>
          <w:p w14:paraId="757942CA">
            <w:pPr>
              <w:spacing w:line="300" w:lineRule="auto"/>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w:t>
            </w:r>
          </w:p>
        </w:tc>
        <w:tc>
          <w:tcPr>
            <w:tcW w:w="8224" w:type="dxa"/>
            <w:gridSpan w:val="4"/>
            <w:shd w:val="clear" w:color="auto" w:fill="auto"/>
            <w:noWrap/>
            <w:vAlign w:val="center"/>
          </w:tcPr>
          <w:p w14:paraId="42BBE064">
            <w:pPr>
              <w:spacing w:line="300" w:lineRule="auto"/>
              <w:jc w:val="both"/>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投标时需提供投标产品使用说明书扫描件、或相应技术参数的厂家技术白皮书（datasheet）扫描件、或第三方机构出具的质量认可材料扫描件、或第三方机构的检验报告扫描件中的任意一项作为技术证明文件佐证。如条款另有特别注明，则以该条款的特别注明为准，无需再按上述要求重复提供证明文件。</w:t>
            </w:r>
            <w:r>
              <w:rPr>
                <w:rFonts w:hint="eastAsia" w:ascii="宋体" w:hAnsi="宋体" w:cs="宋体"/>
                <w:bCs/>
                <w:szCs w:val="21"/>
                <w:highlight w:val="none"/>
                <w:lang w:eastAsia="zh-CN"/>
              </w:rPr>
              <w:t>【</w:t>
            </w:r>
            <w:r>
              <w:rPr>
                <w:rFonts w:hint="eastAsia" w:ascii="宋体" w:hAnsi="宋体" w:cs="宋体"/>
                <w:bCs/>
                <w:szCs w:val="21"/>
                <w:highlight w:val="none"/>
              </w:rPr>
              <w:t>请在证明文件的所在页中作出明显的标记(例如用红色方框标记或划圈等)以便明确响应情况】。</w:t>
            </w:r>
          </w:p>
        </w:tc>
      </w:tr>
      <w:tr w14:paraId="657B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6" w:type="dxa"/>
            <w:gridSpan w:val="2"/>
            <w:noWrap/>
            <w:vAlign w:val="center"/>
          </w:tcPr>
          <w:p w14:paraId="24FBBB94">
            <w:pPr>
              <w:spacing w:line="300" w:lineRule="auto"/>
              <w:ind w:firstLine="0" w:firstLineChars="0"/>
              <w:jc w:val="left"/>
              <w:rPr>
                <w:rFonts w:hint="eastAsia"/>
                <w:b/>
                <w:bCs/>
                <w:kern w:val="0"/>
              </w:rPr>
            </w:pPr>
          </w:p>
        </w:tc>
        <w:tc>
          <w:tcPr>
            <w:tcW w:w="8224" w:type="dxa"/>
            <w:gridSpan w:val="4"/>
            <w:noWrap/>
            <w:vAlign w:val="center"/>
          </w:tcPr>
          <w:p w14:paraId="5D6058B6">
            <w:pPr>
              <w:spacing w:line="300" w:lineRule="auto"/>
              <w:ind w:firstLine="0" w:firstLineChars="0"/>
              <w:jc w:val="left"/>
              <w:rPr>
                <w:rFonts w:hint="eastAsia"/>
                <w:b/>
                <w:bCs/>
                <w:kern w:val="0"/>
              </w:rPr>
            </w:pPr>
          </w:p>
        </w:tc>
      </w:tr>
      <w:tr w14:paraId="0DC8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70" w:type="dxa"/>
            <w:gridSpan w:val="6"/>
            <w:noWrap/>
            <w:vAlign w:val="center"/>
          </w:tcPr>
          <w:p w14:paraId="546B48A7">
            <w:pPr>
              <w:spacing w:line="300" w:lineRule="auto"/>
              <w:ind w:firstLine="0" w:firstLineChars="0"/>
              <w:jc w:val="left"/>
              <w:rPr>
                <w:b/>
                <w:bCs/>
                <w:kern w:val="0"/>
              </w:rPr>
            </w:pPr>
            <w:r>
              <w:rPr>
                <w:rFonts w:hint="eastAsia"/>
                <w:b/>
                <w:bCs/>
                <w:kern w:val="0"/>
              </w:rPr>
              <w:t>308nm紫外线光疗仪（第二类医疗器械 分类编码：09-03-07）</w:t>
            </w:r>
          </w:p>
        </w:tc>
      </w:tr>
      <w:tr w14:paraId="5B6E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noWrap/>
            <w:vAlign w:val="center"/>
          </w:tcPr>
          <w:p w14:paraId="4BAD71B6">
            <w:pPr>
              <w:jc w:val="center"/>
              <w:rPr>
                <w:rFonts w:hint="eastAsia" w:ascii="Times New Roman" w:hAnsi="Times New Roman" w:eastAsia="宋体" w:cs="Times New Roman"/>
                <w:b/>
                <w:bCs/>
                <w:kern w:val="0"/>
                <w:sz w:val="21"/>
                <w:szCs w:val="24"/>
                <w:lang w:val="en-US" w:eastAsia="zh-CN" w:bidi="ar-SA"/>
              </w:rPr>
            </w:pPr>
            <w:r>
              <w:rPr>
                <w:rFonts w:hint="eastAsia"/>
                <w:b/>
                <w:bCs/>
                <w:kern w:val="0"/>
              </w:rPr>
              <w:t>序号</w:t>
            </w:r>
          </w:p>
        </w:tc>
        <w:tc>
          <w:tcPr>
            <w:tcW w:w="1243" w:type="dxa"/>
            <w:gridSpan w:val="2"/>
            <w:shd w:val="clear" w:color="auto" w:fill="auto"/>
            <w:noWrap/>
            <w:vAlign w:val="center"/>
          </w:tcPr>
          <w:p w14:paraId="1E3507F2">
            <w:pPr>
              <w:jc w:val="center"/>
              <w:rPr>
                <w:rFonts w:hint="eastAsia" w:ascii="Times New Roman" w:hAnsi="Times New Roman" w:eastAsia="宋体" w:cs="Times New Roman"/>
                <w:b/>
                <w:bCs/>
                <w:kern w:val="0"/>
                <w:sz w:val="21"/>
                <w:szCs w:val="24"/>
                <w:lang w:val="en-US" w:eastAsia="zh-CN" w:bidi="ar-SA"/>
              </w:rPr>
            </w:pPr>
            <w:r>
              <w:rPr>
                <w:rFonts w:hint="eastAsia"/>
                <w:b/>
                <w:bCs/>
                <w:kern w:val="0"/>
              </w:rPr>
              <w:t>内容</w:t>
            </w:r>
          </w:p>
        </w:tc>
        <w:tc>
          <w:tcPr>
            <w:tcW w:w="7689" w:type="dxa"/>
            <w:gridSpan w:val="3"/>
            <w:shd w:val="clear" w:color="auto" w:fill="auto"/>
            <w:vAlign w:val="center"/>
          </w:tcPr>
          <w:p w14:paraId="4609A229">
            <w:pPr>
              <w:jc w:val="center"/>
              <w:rPr>
                <w:rFonts w:hint="eastAsia" w:ascii="Times New Roman" w:hAnsi="Times New Roman" w:eastAsia="宋体" w:cs="Times New Roman"/>
                <w:b/>
                <w:bCs/>
                <w:kern w:val="0"/>
                <w:sz w:val="21"/>
                <w:szCs w:val="24"/>
                <w:lang w:val="en-US" w:eastAsia="zh-CN" w:bidi="ar-SA"/>
              </w:rPr>
            </w:pPr>
            <w:r>
              <w:rPr>
                <w:rFonts w:hint="eastAsia"/>
                <w:b/>
                <w:bCs/>
                <w:kern w:val="0"/>
              </w:rPr>
              <w:t>说明与要求</w:t>
            </w:r>
          </w:p>
        </w:tc>
      </w:tr>
      <w:tr w14:paraId="27E9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638" w:type="dxa"/>
            <w:noWrap/>
            <w:vAlign w:val="center"/>
          </w:tcPr>
          <w:p w14:paraId="61969565">
            <w:pPr>
              <w:jc w:val="center"/>
              <w:rPr>
                <w:b/>
                <w:bCs/>
                <w:kern w:val="0"/>
              </w:rPr>
            </w:pPr>
            <w:r>
              <w:rPr>
                <w:b/>
                <w:bCs/>
                <w:kern w:val="0"/>
              </w:rPr>
              <w:t>1</w:t>
            </w:r>
          </w:p>
        </w:tc>
        <w:tc>
          <w:tcPr>
            <w:tcW w:w="1243" w:type="dxa"/>
            <w:gridSpan w:val="2"/>
            <w:noWrap/>
            <w:vAlign w:val="center"/>
          </w:tcPr>
          <w:p w14:paraId="68EE2924">
            <w:pPr>
              <w:jc w:val="center"/>
              <w:rPr>
                <w:b/>
                <w:bCs/>
                <w:kern w:val="0"/>
              </w:rPr>
            </w:pPr>
            <w:r>
              <w:rPr>
                <w:b/>
                <w:bCs/>
                <w:kern w:val="0"/>
              </w:rPr>
              <w:t>详细技术参数要求</w:t>
            </w:r>
          </w:p>
        </w:tc>
        <w:tc>
          <w:tcPr>
            <w:tcW w:w="7689" w:type="dxa"/>
            <w:gridSpan w:val="3"/>
            <w:vAlign w:val="center"/>
          </w:tcPr>
          <w:p w14:paraId="13AD4809">
            <w:pPr>
              <w:jc w:val="left"/>
              <w:rPr>
                <w:kern w:val="0"/>
              </w:rPr>
            </w:pPr>
            <w:r>
              <w:rPr>
                <w:kern w:val="0"/>
              </w:rPr>
              <w:t>▲</w:t>
            </w:r>
            <w:r>
              <w:rPr>
                <w:rFonts w:hint="eastAsia"/>
                <w:kern w:val="0"/>
              </w:rPr>
              <w:t>1.</w:t>
            </w:r>
            <w:r>
              <w:rPr>
                <w:kern w:val="0"/>
              </w:rPr>
              <w:t>集成式LED芯片固态光源，非耗材型。</w:t>
            </w:r>
          </w:p>
          <w:p w14:paraId="79B141B4">
            <w:pPr>
              <w:jc w:val="left"/>
              <w:rPr>
                <w:kern w:val="0"/>
              </w:rPr>
            </w:pPr>
            <w:r>
              <w:rPr>
                <w:kern w:val="0"/>
              </w:rPr>
              <w:t>▲</w:t>
            </w:r>
            <w:r>
              <w:rPr>
                <w:rFonts w:hint="eastAsia"/>
                <w:kern w:val="0"/>
              </w:rPr>
              <w:t>2.</w:t>
            </w:r>
            <w:r>
              <w:rPr>
                <w:kern w:val="0"/>
              </w:rPr>
              <w:t>光源使用寿命≥5000小时。</w:t>
            </w:r>
          </w:p>
          <w:p w14:paraId="20329EB0">
            <w:pPr>
              <w:jc w:val="left"/>
              <w:rPr>
                <w:kern w:val="0"/>
              </w:rPr>
            </w:pPr>
            <w:r>
              <w:rPr>
                <w:rFonts w:hint="eastAsia"/>
                <w:kern w:val="0"/>
              </w:rPr>
              <w:t>★3.</w:t>
            </w:r>
            <w:r>
              <w:rPr>
                <w:kern w:val="0"/>
              </w:rPr>
              <w:t>峰值波长：308nm ± 2nm。</w:t>
            </w:r>
          </w:p>
          <w:p w14:paraId="50FE88FF">
            <w:pPr>
              <w:jc w:val="left"/>
              <w:rPr>
                <w:kern w:val="0"/>
              </w:rPr>
            </w:pPr>
            <w:r>
              <w:rPr>
                <w:rFonts w:hint="eastAsia"/>
                <w:kern w:val="0"/>
              </w:rPr>
              <w:t>4.</w:t>
            </w:r>
            <w:r>
              <w:rPr>
                <w:kern w:val="0"/>
              </w:rPr>
              <w:t>手柄支持多种规格出光头（≥6种），包含治疗用与最小红斑量（MED）测定用，支持</w:t>
            </w:r>
            <w:r>
              <w:rPr>
                <w:rFonts w:hint="eastAsia"/>
                <w:kern w:val="0"/>
              </w:rPr>
              <w:t>“</w:t>
            </w:r>
            <w:r>
              <w:rPr>
                <w:kern w:val="0"/>
              </w:rPr>
              <w:t>滑动切换</w:t>
            </w:r>
            <w:r>
              <w:rPr>
                <w:rFonts w:hint="eastAsia"/>
                <w:kern w:val="0"/>
              </w:rPr>
              <w:t>”</w:t>
            </w:r>
            <w:r>
              <w:rPr>
                <w:kern w:val="0"/>
              </w:rPr>
              <w:t>或</w:t>
            </w:r>
            <w:r>
              <w:rPr>
                <w:rFonts w:hint="eastAsia"/>
                <w:kern w:val="0"/>
              </w:rPr>
              <w:t>“</w:t>
            </w:r>
            <w:r>
              <w:rPr>
                <w:kern w:val="0"/>
              </w:rPr>
              <w:t>磁吸替换</w:t>
            </w:r>
            <w:r>
              <w:rPr>
                <w:rFonts w:hint="eastAsia"/>
                <w:kern w:val="0"/>
              </w:rPr>
              <w:t>”</w:t>
            </w:r>
            <w:r>
              <w:rPr>
                <w:kern w:val="0"/>
              </w:rPr>
              <w:t>或</w:t>
            </w:r>
            <w:r>
              <w:rPr>
                <w:rFonts w:hint="eastAsia"/>
                <w:kern w:val="0"/>
              </w:rPr>
              <w:t>“</w:t>
            </w:r>
            <w:r>
              <w:rPr>
                <w:kern w:val="0"/>
              </w:rPr>
              <w:t>插拔遮光片</w:t>
            </w:r>
            <w:r>
              <w:rPr>
                <w:rFonts w:hint="eastAsia"/>
                <w:kern w:val="0"/>
              </w:rPr>
              <w:t>”</w:t>
            </w:r>
            <w:r>
              <w:rPr>
                <w:kern w:val="0"/>
              </w:rPr>
              <w:t>等方式实现快速切换出光头。出光头尺寸规格（cm）：至少包含1.5×1.5、3×3、3×4、6×4、直径2cm（圆形）、直径3cm（圆形）。</w:t>
            </w:r>
          </w:p>
          <w:p w14:paraId="4FDA8E47">
            <w:pPr>
              <w:jc w:val="left"/>
              <w:rPr>
                <w:kern w:val="0"/>
              </w:rPr>
            </w:pPr>
            <w:r>
              <w:rPr>
                <w:rFonts w:hint="eastAsia"/>
                <w:kern w:val="0"/>
              </w:rPr>
              <w:t>5.</w:t>
            </w:r>
            <w:r>
              <w:rPr>
                <w:kern w:val="0"/>
              </w:rPr>
              <w:t>手柄配置治疗出光头与MED测定出光头双接口。</w:t>
            </w:r>
          </w:p>
          <w:p w14:paraId="0E912C5D">
            <w:pPr>
              <w:jc w:val="left"/>
              <w:rPr>
                <w:kern w:val="0"/>
              </w:rPr>
            </w:pPr>
            <w:r>
              <w:rPr>
                <w:rFonts w:hint="eastAsia"/>
                <w:kern w:val="0"/>
              </w:rPr>
              <w:t>6.</w:t>
            </w:r>
            <w:r>
              <w:rPr>
                <w:rFonts w:hint="eastAsia"/>
              </w:rPr>
              <w:t>护肤</w:t>
            </w:r>
            <w:r>
              <w:rPr>
                <w:kern w:val="0"/>
              </w:rPr>
              <w:t>硅胶片包括多种形式组合搭配，可照射任意面积。</w:t>
            </w:r>
          </w:p>
          <w:p w14:paraId="725F94D8">
            <w:pPr>
              <w:jc w:val="left"/>
              <w:rPr>
                <w:kern w:val="0"/>
              </w:rPr>
            </w:pPr>
            <w:r>
              <w:rPr>
                <w:rFonts w:hint="eastAsia"/>
                <w:kern w:val="0"/>
              </w:rPr>
              <w:t>7.</w:t>
            </w:r>
            <w:r>
              <w:rPr>
                <w:kern w:val="0"/>
              </w:rPr>
              <w:t>包括多种不同面积照射窗口硅胶头，用户可根据治疗面积大小进行选择。</w:t>
            </w:r>
          </w:p>
          <w:p w14:paraId="57DE10FD">
            <w:pPr>
              <w:jc w:val="left"/>
              <w:rPr>
                <w:kern w:val="0"/>
              </w:rPr>
            </w:pPr>
            <w:r>
              <w:rPr>
                <w:rFonts w:hint="eastAsia"/>
                <w:kern w:val="0"/>
              </w:rPr>
              <w:t>8.</w:t>
            </w:r>
            <w:r>
              <w:rPr>
                <w:kern w:val="0"/>
              </w:rPr>
              <w:t>配套专用MED测定贴片，兼具照射定位与数据记录功能。</w:t>
            </w:r>
          </w:p>
          <w:p w14:paraId="7D3E90C0">
            <w:pPr>
              <w:jc w:val="left"/>
              <w:rPr>
                <w:kern w:val="0"/>
              </w:rPr>
            </w:pPr>
            <w:r>
              <w:rPr>
                <w:rFonts w:hint="eastAsia"/>
                <w:kern w:val="0"/>
              </w:rPr>
              <w:t>9.</w:t>
            </w:r>
            <w:r>
              <w:rPr>
                <w:kern w:val="0"/>
              </w:rPr>
              <w:t>手柄最大照射面积≥24cm²。</w:t>
            </w:r>
          </w:p>
          <w:p w14:paraId="64440398">
            <w:pPr>
              <w:jc w:val="left"/>
              <w:rPr>
                <w:kern w:val="0"/>
              </w:rPr>
            </w:pPr>
            <w:r>
              <w:rPr>
                <w:kern w:val="0"/>
              </w:rPr>
              <w:t>▲</w:t>
            </w:r>
            <w:r>
              <w:rPr>
                <w:rFonts w:hint="eastAsia"/>
                <w:kern w:val="0"/>
              </w:rPr>
              <w:t>10.</w:t>
            </w:r>
            <w:r>
              <w:rPr>
                <w:kern w:val="0"/>
              </w:rPr>
              <w:t>辐照强度：最大辐照强度 ≥ 50 mW/cm²。</w:t>
            </w:r>
          </w:p>
          <w:p w14:paraId="204AC326">
            <w:pPr>
              <w:jc w:val="left"/>
              <w:rPr>
                <w:kern w:val="0"/>
              </w:rPr>
            </w:pPr>
            <w:r>
              <w:rPr>
                <w:kern w:val="0"/>
              </w:rPr>
              <w:t>▲</w:t>
            </w:r>
            <w:r>
              <w:rPr>
                <w:rFonts w:hint="eastAsia"/>
                <w:kern w:val="0"/>
              </w:rPr>
              <w:t>11.</w:t>
            </w:r>
            <w:r>
              <w:rPr>
                <w:kern w:val="0"/>
              </w:rPr>
              <w:t>辐照剂量：可设置范围至少覆盖50 - 5000 mJ/cm²。</w:t>
            </w:r>
          </w:p>
          <w:p w14:paraId="6F2D55FA">
            <w:pPr>
              <w:jc w:val="left"/>
              <w:rPr>
                <w:kern w:val="0"/>
              </w:rPr>
            </w:pPr>
            <w:r>
              <w:rPr>
                <w:rFonts w:hint="eastAsia"/>
                <w:kern w:val="0"/>
              </w:rPr>
              <w:t>12.</w:t>
            </w:r>
            <w:r>
              <w:rPr>
                <w:kern w:val="0"/>
              </w:rPr>
              <w:t>操作屏幕：≥10英寸彩色触摸屏。</w:t>
            </w:r>
          </w:p>
          <w:p w14:paraId="39485B78">
            <w:pPr>
              <w:jc w:val="left"/>
              <w:rPr>
                <w:kern w:val="0"/>
              </w:rPr>
            </w:pPr>
            <w:r>
              <w:rPr>
                <w:rFonts w:hint="eastAsia"/>
                <w:kern w:val="0"/>
              </w:rPr>
              <w:t>1</w:t>
            </w:r>
            <w:r>
              <w:rPr>
                <w:rFonts w:hint="eastAsia"/>
                <w:kern w:val="0"/>
                <w:lang w:val="en-US" w:eastAsia="zh-CN"/>
              </w:rPr>
              <w:t>3</w:t>
            </w:r>
            <w:r>
              <w:rPr>
                <w:rFonts w:hint="eastAsia"/>
                <w:kern w:val="0"/>
              </w:rPr>
              <w:t>.</w:t>
            </w:r>
            <w:r>
              <w:rPr>
                <w:kern w:val="0"/>
              </w:rPr>
              <w:t>具备高效散热系统，整机运行噪音低。</w:t>
            </w:r>
          </w:p>
        </w:tc>
      </w:tr>
      <w:tr w14:paraId="50EF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38" w:type="dxa"/>
            <w:vMerge w:val="restart"/>
            <w:noWrap/>
            <w:vAlign w:val="center"/>
          </w:tcPr>
          <w:p w14:paraId="53C1FE6D">
            <w:pPr>
              <w:jc w:val="center"/>
              <w:rPr>
                <w:b/>
                <w:bCs/>
                <w:kern w:val="0"/>
              </w:rPr>
            </w:pPr>
            <w:r>
              <w:rPr>
                <w:rFonts w:hint="eastAsia"/>
                <w:b/>
                <w:bCs/>
                <w:kern w:val="0"/>
              </w:rPr>
              <w:t>2</w:t>
            </w:r>
          </w:p>
        </w:tc>
        <w:tc>
          <w:tcPr>
            <w:tcW w:w="1243" w:type="dxa"/>
            <w:gridSpan w:val="2"/>
            <w:vMerge w:val="restart"/>
            <w:noWrap/>
            <w:vAlign w:val="center"/>
          </w:tcPr>
          <w:p w14:paraId="544A76EF">
            <w:pPr>
              <w:jc w:val="center"/>
              <w:rPr>
                <w:b/>
                <w:bCs/>
                <w:kern w:val="0"/>
              </w:rPr>
            </w:pPr>
            <w:r>
              <w:rPr>
                <w:rFonts w:hint="eastAsia" w:ascii="宋体" w:hAnsi="宋体" w:cs="宋体"/>
                <w:b/>
                <w:szCs w:val="21"/>
              </w:rPr>
              <w:t>★配置清单（单台配置）</w:t>
            </w:r>
            <w:r>
              <w:rPr>
                <w:rFonts w:hint="eastAsia" w:ascii="宋体" w:hAnsi="宋体" w:cs="宋体"/>
                <w:b w:val="0"/>
                <w:bCs/>
                <w:szCs w:val="21"/>
                <w:lang w:eastAsia="zh-CN"/>
              </w:rPr>
              <w:t>（</w:t>
            </w:r>
            <w:r>
              <w:rPr>
                <w:rFonts w:hint="eastAsia"/>
                <w:kern w:val="0"/>
                <w:lang w:val="en-US" w:eastAsia="zh-CN"/>
              </w:rPr>
              <w:t>提供承诺函）</w:t>
            </w:r>
          </w:p>
        </w:tc>
        <w:tc>
          <w:tcPr>
            <w:tcW w:w="3725" w:type="dxa"/>
          </w:tcPr>
          <w:p w14:paraId="47C198C6">
            <w:pPr>
              <w:jc w:val="center"/>
              <w:rPr>
                <w:kern w:val="0"/>
              </w:rPr>
            </w:pPr>
            <w:r>
              <w:rPr>
                <w:rFonts w:hint="eastAsia"/>
                <w:kern w:val="0"/>
              </w:rPr>
              <w:t>名称</w:t>
            </w:r>
          </w:p>
        </w:tc>
        <w:tc>
          <w:tcPr>
            <w:tcW w:w="1627" w:type="dxa"/>
            <w:vAlign w:val="center"/>
          </w:tcPr>
          <w:p w14:paraId="690EB79F">
            <w:pPr>
              <w:jc w:val="center"/>
              <w:rPr>
                <w:kern w:val="0"/>
              </w:rPr>
            </w:pPr>
            <w:r>
              <w:rPr>
                <w:rFonts w:hint="eastAsia"/>
                <w:kern w:val="0"/>
              </w:rPr>
              <w:t>数量</w:t>
            </w:r>
          </w:p>
        </w:tc>
        <w:tc>
          <w:tcPr>
            <w:tcW w:w="2337" w:type="dxa"/>
            <w:vAlign w:val="center"/>
          </w:tcPr>
          <w:p w14:paraId="74A74AD7">
            <w:pPr>
              <w:jc w:val="center"/>
              <w:rPr>
                <w:kern w:val="0"/>
              </w:rPr>
            </w:pPr>
            <w:r>
              <w:rPr>
                <w:rFonts w:hint="eastAsia"/>
                <w:kern w:val="0"/>
              </w:rPr>
              <w:t>单位</w:t>
            </w:r>
          </w:p>
        </w:tc>
      </w:tr>
      <w:tr w14:paraId="4628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vMerge w:val="continue"/>
          </w:tcPr>
          <w:p w14:paraId="7EA627E4">
            <w:pPr>
              <w:jc w:val="center"/>
              <w:rPr>
                <w:b/>
                <w:bCs/>
                <w:kern w:val="0"/>
              </w:rPr>
            </w:pPr>
          </w:p>
        </w:tc>
        <w:tc>
          <w:tcPr>
            <w:tcW w:w="1243" w:type="dxa"/>
            <w:gridSpan w:val="2"/>
            <w:vMerge w:val="continue"/>
          </w:tcPr>
          <w:p w14:paraId="47556325">
            <w:pPr>
              <w:jc w:val="center"/>
              <w:rPr>
                <w:b/>
                <w:bCs/>
                <w:kern w:val="0"/>
              </w:rPr>
            </w:pPr>
          </w:p>
        </w:tc>
        <w:tc>
          <w:tcPr>
            <w:tcW w:w="3725" w:type="dxa"/>
          </w:tcPr>
          <w:p w14:paraId="31C94C19">
            <w:pPr>
              <w:jc w:val="center"/>
              <w:rPr>
                <w:kern w:val="0"/>
              </w:rPr>
            </w:pPr>
            <w:r>
              <w:rPr>
                <w:rFonts w:hint="eastAsia"/>
                <w:kern w:val="0"/>
              </w:rPr>
              <w:t>主机</w:t>
            </w:r>
          </w:p>
        </w:tc>
        <w:tc>
          <w:tcPr>
            <w:tcW w:w="1627" w:type="dxa"/>
          </w:tcPr>
          <w:p w14:paraId="127923C4">
            <w:pPr>
              <w:jc w:val="center"/>
              <w:rPr>
                <w:kern w:val="0"/>
              </w:rPr>
            </w:pPr>
            <w:r>
              <w:rPr>
                <w:kern w:val="0"/>
              </w:rPr>
              <w:t>1</w:t>
            </w:r>
          </w:p>
        </w:tc>
        <w:tc>
          <w:tcPr>
            <w:tcW w:w="2337" w:type="dxa"/>
          </w:tcPr>
          <w:p w14:paraId="4C5DD105">
            <w:pPr>
              <w:jc w:val="center"/>
              <w:rPr>
                <w:kern w:val="0"/>
              </w:rPr>
            </w:pPr>
            <w:r>
              <w:rPr>
                <w:rFonts w:hint="eastAsia"/>
                <w:kern w:val="0"/>
              </w:rPr>
              <w:t>台</w:t>
            </w:r>
          </w:p>
        </w:tc>
      </w:tr>
      <w:tr w14:paraId="7FDE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638" w:type="dxa"/>
            <w:vMerge w:val="continue"/>
          </w:tcPr>
          <w:p w14:paraId="1F23E5C7">
            <w:pPr>
              <w:jc w:val="center"/>
              <w:rPr>
                <w:b/>
                <w:bCs/>
                <w:kern w:val="0"/>
              </w:rPr>
            </w:pPr>
          </w:p>
        </w:tc>
        <w:tc>
          <w:tcPr>
            <w:tcW w:w="1243" w:type="dxa"/>
            <w:gridSpan w:val="2"/>
            <w:vMerge w:val="continue"/>
          </w:tcPr>
          <w:p w14:paraId="3F32CFDF">
            <w:pPr>
              <w:jc w:val="center"/>
              <w:rPr>
                <w:b/>
                <w:bCs/>
                <w:kern w:val="0"/>
              </w:rPr>
            </w:pPr>
          </w:p>
        </w:tc>
        <w:tc>
          <w:tcPr>
            <w:tcW w:w="3725" w:type="dxa"/>
            <w:vAlign w:val="center"/>
          </w:tcPr>
          <w:p w14:paraId="1B5D69EB">
            <w:pPr>
              <w:jc w:val="center"/>
              <w:rPr>
                <w:kern w:val="0"/>
              </w:rPr>
            </w:pPr>
            <w:r>
              <w:rPr>
                <w:rFonts w:hint="eastAsia"/>
                <w:kern w:val="0"/>
              </w:rPr>
              <w:t>护目镜</w:t>
            </w:r>
          </w:p>
        </w:tc>
        <w:tc>
          <w:tcPr>
            <w:tcW w:w="1627" w:type="dxa"/>
          </w:tcPr>
          <w:p w14:paraId="69B50FEB">
            <w:pPr>
              <w:jc w:val="center"/>
              <w:rPr>
                <w:kern w:val="0"/>
              </w:rPr>
            </w:pPr>
            <w:r>
              <w:rPr>
                <w:rFonts w:hint="eastAsia"/>
                <w:kern w:val="0"/>
              </w:rPr>
              <w:t>2</w:t>
            </w:r>
          </w:p>
        </w:tc>
        <w:tc>
          <w:tcPr>
            <w:tcW w:w="2337" w:type="dxa"/>
          </w:tcPr>
          <w:p w14:paraId="6230A95F">
            <w:pPr>
              <w:jc w:val="center"/>
              <w:rPr>
                <w:kern w:val="0"/>
              </w:rPr>
            </w:pPr>
            <w:r>
              <w:rPr>
                <w:rFonts w:hint="eastAsia"/>
                <w:kern w:val="0"/>
              </w:rPr>
              <w:t>副</w:t>
            </w:r>
          </w:p>
        </w:tc>
      </w:tr>
      <w:tr w14:paraId="16B7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vMerge w:val="continue"/>
          </w:tcPr>
          <w:p w14:paraId="1A3F630B">
            <w:pPr>
              <w:jc w:val="center"/>
              <w:rPr>
                <w:b/>
                <w:bCs/>
                <w:kern w:val="0"/>
              </w:rPr>
            </w:pPr>
          </w:p>
        </w:tc>
        <w:tc>
          <w:tcPr>
            <w:tcW w:w="1243" w:type="dxa"/>
            <w:gridSpan w:val="2"/>
            <w:vMerge w:val="continue"/>
          </w:tcPr>
          <w:p w14:paraId="0CC7654E">
            <w:pPr>
              <w:jc w:val="center"/>
              <w:rPr>
                <w:b/>
                <w:bCs/>
                <w:kern w:val="0"/>
              </w:rPr>
            </w:pPr>
          </w:p>
        </w:tc>
        <w:tc>
          <w:tcPr>
            <w:tcW w:w="3725" w:type="dxa"/>
            <w:vAlign w:val="center"/>
          </w:tcPr>
          <w:p w14:paraId="58861FAD">
            <w:pPr>
              <w:jc w:val="center"/>
              <w:rPr>
                <w:kern w:val="0"/>
              </w:rPr>
            </w:pPr>
            <w:r>
              <w:rPr>
                <w:rFonts w:hint="eastAsia"/>
                <w:kern w:val="0"/>
              </w:rPr>
              <w:t>护肤硅胶片</w:t>
            </w:r>
          </w:p>
        </w:tc>
        <w:tc>
          <w:tcPr>
            <w:tcW w:w="1627" w:type="dxa"/>
          </w:tcPr>
          <w:p w14:paraId="2C7A0E7C">
            <w:pPr>
              <w:jc w:val="center"/>
              <w:rPr>
                <w:kern w:val="0"/>
              </w:rPr>
            </w:pPr>
            <w:r>
              <w:rPr>
                <w:rFonts w:hint="eastAsia"/>
                <w:kern w:val="0"/>
              </w:rPr>
              <w:t>4</w:t>
            </w:r>
          </w:p>
        </w:tc>
        <w:tc>
          <w:tcPr>
            <w:tcW w:w="2337" w:type="dxa"/>
          </w:tcPr>
          <w:p w14:paraId="618A6E55">
            <w:pPr>
              <w:jc w:val="center"/>
              <w:rPr>
                <w:kern w:val="0"/>
              </w:rPr>
            </w:pPr>
            <w:r>
              <w:rPr>
                <w:rFonts w:hint="eastAsia"/>
                <w:kern w:val="0"/>
              </w:rPr>
              <w:t>张</w:t>
            </w:r>
          </w:p>
        </w:tc>
      </w:tr>
      <w:tr w14:paraId="2460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vMerge w:val="continue"/>
          </w:tcPr>
          <w:p w14:paraId="1B44F904">
            <w:pPr>
              <w:jc w:val="center"/>
              <w:rPr>
                <w:b/>
                <w:bCs/>
                <w:kern w:val="0"/>
              </w:rPr>
            </w:pPr>
          </w:p>
        </w:tc>
        <w:tc>
          <w:tcPr>
            <w:tcW w:w="1243" w:type="dxa"/>
            <w:gridSpan w:val="2"/>
            <w:vMerge w:val="continue"/>
          </w:tcPr>
          <w:p w14:paraId="4011DF00">
            <w:pPr>
              <w:jc w:val="center"/>
              <w:rPr>
                <w:b/>
                <w:bCs/>
                <w:kern w:val="0"/>
              </w:rPr>
            </w:pPr>
          </w:p>
        </w:tc>
        <w:tc>
          <w:tcPr>
            <w:tcW w:w="3725" w:type="dxa"/>
            <w:vAlign w:val="center"/>
          </w:tcPr>
          <w:p w14:paraId="08A4E6F5">
            <w:pPr>
              <w:jc w:val="center"/>
              <w:rPr>
                <w:kern w:val="0"/>
              </w:rPr>
            </w:pPr>
            <w:r>
              <w:rPr>
                <w:rFonts w:hint="eastAsia"/>
                <w:kern w:val="0"/>
              </w:rPr>
              <w:t>硅胶头</w:t>
            </w:r>
          </w:p>
        </w:tc>
        <w:tc>
          <w:tcPr>
            <w:tcW w:w="1627" w:type="dxa"/>
          </w:tcPr>
          <w:p w14:paraId="393D0452">
            <w:pPr>
              <w:jc w:val="center"/>
              <w:rPr>
                <w:kern w:val="0"/>
              </w:rPr>
            </w:pPr>
            <w:r>
              <w:rPr>
                <w:rFonts w:hint="eastAsia"/>
                <w:kern w:val="0"/>
              </w:rPr>
              <w:t>5</w:t>
            </w:r>
          </w:p>
        </w:tc>
        <w:tc>
          <w:tcPr>
            <w:tcW w:w="2337" w:type="dxa"/>
          </w:tcPr>
          <w:p w14:paraId="74DB83EB">
            <w:pPr>
              <w:jc w:val="center"/>
              <w:rPr>
                <w:kern w:val="0"/>
              </w:rPr>
            </w:pPr>
            <w:r>
              <w:rPr>
                <w:rFonts w:hint="eastAsia"/>
                <w:kern w:val="0"/>
              </w:rPr>
              <w:t>个</w:t>
            </w:r>
          </w:p>
        </w:tc>
      </w:tr>
      <w:tr w14:paraId="7889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vMerge w:val="continue"/>
          </w:tcPr>
          <w:p w14:paraId="30F8AE1E">
            <w:pPr>
              <w:jc w:val="center"/>
              <w:rPr>
                <w:b/>
                <w:bCs/>
                <w:kern w:val="0"/>
              </w:rPr>
            </w:pPr>
          </w:p>
        </w:tc>
        <w:tc>
          <w:tcPr>
            <w:tcW w:w="1243" w:type="dxa"/>
            <w:gridSpan w:val="2"/>
            <w:vMerge w:val="continue"/>
          </w:tcPr>
          <w:p w14:paraId="4F3C744A">
            <w:pPr>
              <w:jc w:val="center"/>
              <w:rPr>
                <w:b/>
                <w:bCs/>
                <w:kern w:val="0"/>
              </w:rPr>
            </w:pPr>
          </w:p>
        </w:tc>
        <w:tc>
          <w:tcPr>
            <w:tcW w:w="3725" w:type="dxa"/>
            <w:vAlign w:val="center"/>
          </w:tcPr>
          <w:p w14:paraId="5D4607FC">
            <w:pPr>
              <w:jc w:val="center"/>
              <w:rPr>
                <w:kern w:val="0"/>
              </w:rPr>
            </w:pPr>
            <w:r>
              <w:rPr>
                <w:rFonts w:hint="eastAsia"/>
                <w:kern w:val="0"/>
              </w:rPr>
              <w:t>MED测试贴片</w:t>
            </w:r>
          </w:p>
        </w:tc>
        <w:tc>
          <w:tcPr>
            <w:tcW w:w="1627" w:type="dxa"/>
          </w:tcPr>
          <w:p w14:paraId="62AD24DD">
            <w:pPr>
              <w:jc w:val="center"/>
              <w:rPr>
                <w:kern w:val="0"/>
              </w:rPr>
            </w:pPr>
            <w:r>
              <w:rPr>
                <w:kern w:val="0"/>
              </w:rPr>
              <w:t>100</w:t>
            </w:r>
          </w:p>
        </w:tc>
        <w:tc>
          <w:tcPr>
            <w:tcW w:w="2337" w:type="dxa"/>
          </w:tcPr>
          <w:p w14:paraId="276C15B8">
            <w:pPr>
              <w:jc w:val="center"/>
              <w:rPr>
                <w:kern w:val="0"/>
              </w:rPr>
            </w:pPr>
            <w:r>
              <w:rPr>
                <w:rFonts w:hint="eastAsia"/>
                <w:kern w:val="0"/>
              </w:rPr>
              <w:t>片</w:t>
            </w:r>
          </w:p>
        </w:tc>
      </w:tr>
    </w:tbl>
    <w:p w14:paraId="5DB2A401">
      <w:pPr>
        <w:numPr>
          <w:ilvl w:val="0"/>
          <w:numId w:val="7"/>
        </w:numPr>
        <w:spacing w:line="300" w:lineRule="auto"/>
        <w:jc w:val="left"/>
        <w:rPr>
          <w:rFonts w:hint="eastAsia" w:ascii="宋体" w:hAnsi="宋体" w:cs="宋体"/>
          <w:b/>
          <w:szCs w:val="21"/>
        </w:rPr>
      </w:pPr>
      <w:r>
        <w:rPr>
          <w:rFonts w:hint="eastAsia" w:ascii="宋体" w:hAnsi="宋体" w:cs="宋体"/>
          <w:b/>
          <w:szCs w:val="21"/>
        </w:rPr>
        <w:t>主要商务要求</w:t>
      </w:r>
    </w:p>
    <w:tbl>
      <w:tblPr>
        <w:tblStyle w:val="32"/>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1"/>
        <w:gridCol w:w="8269"/>
      </w:tblGrid>
      <w:tr w14:paraId="34728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6" w:hRule="atLeast"/>
        </w:trPr>
        <w:tc>
          <w:tcPr>
            <w:tcW w:w="578" w:type="pct"/>
            <w:vAlign w:val="center"/>
          </w:tcPr>
          <w:p w14:paraId="294A9242">
            <w:pPr>
              <w:pStyle w:val="59"/>
              <w:jc w:val="center"/>
              <w:rPr>
                <w:rFonts w:ascii="宋体" w:hAnsi="宋体" w:cs="宋体"/>
                <w:sz w:val="21"/>
                <w:szCs w:val="21"/>
              </w:rPr>
            </w:pPr>
            <w:r>
              <w:rPr>
                <w:rFonts w:ascii="宋体" w:hAnsi="宋体" w:cs="宋体"/>
                <w:sz w:val="21"/>
                <w:szCs w:val="21"/>
              </w:rPr>
              <w:t>标的提供的时间</w:t>
            </w:r>
          </w:p>
        </w:tc>
        <w:tc>
          <w:tcPr>
            <w:tcW w:w="4421" w:type="pct"/>
            <w:vAlign w:val="center"/>
          </w:tcPr>
          <w:p w14:paraId="2CD9A3ED">
            <w:pPr>
              <w:pStyle w:val="59"/>
              <w:jc w:val="both"/>
              <w:rPr>
                <w:rFonts w:ascii="宋体" w:hAnsi="宋体" w:cs="宋体"/>
                <w:sz w:val="21"/>
                <w:szCs w:val="21"/>
              </w:rPr>
            </w:pPr>
            <w:r>
              <w:rPr>
                <w:rFonts w:ascii="宋体" w:hAnsi="宋体" w:cs="宋体"/>
                <w:sz w:val="21"/>
                <w:szCs w:val="21"/>
                <w:lang w:eastAsia="zh-CN"/>
              </w:rPr>
              <w:t>自合同签订后15个工作日内完成所有货物的到货、安装调试并交付采购人试运行。</w:t>
            </w:r>
          </w:p>
        </w:tc>
      </w:tr>
      <w:tr w14:paraId="71328D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8" w:type="pct"/>
            <w:vAlign w:val="center"/>
          </w:tcPr>
          <w:p w14:paraId="29869B58">
            <w:pPr>
              <w:pStyle w:val="59"/>
              <w:jc w:val="center"/>
              <w:rPr>
                <w:rFonts w:ascii="宋体" w:hAnsi="宋体" w:cs="宋体"/>
                <w:sz w:val="21"/>
                <w:szCs w:val="21"/>
              </w:rPr>
            </w:pPr>
            <w:r>
              <w:rPr>
                <w:rFonts w:ascii="宋体" w:hAnsi="宋体" w:cs="宋体"/>
                <w:sz w:val="21"/>
                <w:szCs w:val="21"/>
              </w:rPr>
              <w:t>标的提供的地点</w:t>
            </w:r>
          </w:p>
        </w:tc>
        <w:tc>
          <w:tcPr>
            <w:tcW w:w="4421" w:type="pct"/>
            <w:vAlign w:val="center"/>
          </w:tcPr>
          <w:p w14:paraId="2C02598F">
            <w:pPr>
              <w:pStyle w:val="59"/>
              <w:jc w:val="both"/>
              <w:rPr>
                <w:rFonts w:ascii="宋体" w:hAnsi="宋体" w:cs="宋体"/>
                <w:sz w:val="21"/>
                <w:szCs w:val="21"/>
                <w:lang w:eastAsia="zh-CN"/>
              </w:rPr>
            </w:pPr>
            <w:r>
              <w:rPr>
                <w:rFonts w:ascii="宋体" w:hAnsi="宋体" w:cs="宋体"/>
                <w:sz w:val="21"/>
                <w:szCs w:val="21"/>
              </w:rPr>
              <w:t>广州市</w:t>
            </w:r>
            <w:r>
              <w:rPr>
                <w:rFonts w:ascii="宋体" w:hAnsi="宋体" w:cs="宋体"/>
                <w:sz w:val="21"/>
                <w:szCs w:val="21"/>
                <w:lang w:eastAsia="zh-CN"/>
              </w:rPr>
              <w:t>海珠</w:t>
            </w:r>
            <w:r>
              <w:rPr>
                <w:rFonts w:ascii="宋体" w:hAnsi="宋体" w:cs="宋体"/>
                <w:sz w:val="21"/>
                <w:szCs w:val="21"/>
              </w:rPr>
              <w:t>区石榴岗路13号大院</w:t>
            </w:r>
            <w:r>
              <w:rPr>
                <w:rFonts w:ascii="宋体" w:hAnsi="宋体" w:cs="宋体"/>
                <w:sz w:val="21"/>
                <w:szCs w:val="21"/>
                <w:lang w:eastAsia="zh-CN"/>
              </w:rPr>
              <w:t>或南方医科大学中西医结合医院</w:t>
            </w:r>
            <w:r>
              <w:rPr>
                <w:rFonts w:ascii="宋体" w:hAnsi="宋体" w:cs="宋体"/>
                <w:sz w:val="21"/>
                <w:szCs w:val="21"/>
              </w:rPr>
              <w:t>院内指定地点或采购人指定</w:t>
            </w:r>
            <w:r>
              <w:rPr>
                <w:rFonts w:ascii="宋体" w:hAnsi="宋体" w:cs="宋体"/>
                <w:sz w:val="21"/>
                <w:szCs w:val="21"/>
                <w:lang w:eastAsia="zh-CN"/>
              </w:rPr>
              <w:t>地点</w:t>
            </w:r>
            <w:r>
              <w:rPr>
                <w:rFonts w:ascii="宋体" w:hAnsi="宋体" w:cs="宋体"/>
                <w:sz w:val="21"/>
                <w:szCs w:val="21"/>
              </w:rPr>
              <w:t>。</w:t>
            </w:r>
          </w:p>
        </w:tc>
      </w:tr>
      <w:tr w14:paraId="4A52D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8" w:type="pct"/>
            <w:vAlign w:val="center"/>
          </w:tcPr>
          <w:p w14:paraId="3B6E3D4F">
            <w:pPr>
              <w:pStyle w:val="59"/>
              <w:jc w:val="center"/>
              <w:rPr>
                <w:rFonts w:ascii="宋体" w:hAnsi="宋体" w:cs="宋体"/>
                <w:sz w:val="21"/>
                <w:szCs w:val="21"/>
              </w:rPr>
            </w:pPr>
            <w:r>
              <w:rPr>
                <w:rFonts w:ascii="宋体" w:hAnsi="宋体" w:cs="宋体"/>
                <w:sz w:val="21"/>
                <w:szCs w:val="21"/>
              </w:rPr>
              <w:t>付款方式</w:t>
            </w:r>
          </w:p>
        </w:tc>
        <w:tc>
          <w:tcPr>
            <w:tcW w:w="4421" w:type="pct"/>
            <w:vAlign w:val="center"/>
          </w:tcPr>
          <w:p w14:paraId="0F32D1C0">
            <w:pPr>
              <w:spacing w:line="300" w:lineRule="auto"/>
              <w:rPr>
                <w:rFonts w:hint="eastAsia" w:ascii="宋体" w:hAnsi="宋体" w:cs="宋体"/>
                <w:bCs/>
                <w:szCs w:val="21"/>
              </w:rPr>
            </w:pPr>
            <w:r>
              <w:rPr>
                <w:rFonts w:hint="eastAsia" w:ascii="宋体" w:hAnsi="宋体" w:cs="宋体"/>
                <w:bCs/>
                <w:szCs w:val="21"/>
              </w:rPr>
              <w:t>本项目的每笔款项以人民币支票或汇款方式支付，支付的时间和金额如下：</w:t>
            </w:r>
          </w:p>
          <w:p w14:paraId="2BA56242">
            <w:pPr>
              <w:spacing w:line="300" w:lineRule="auto"/>
              <w:rPr>
                <w:rFonts w:hint="eastAsia" w:ascii="宋体" w:hAnsi="宋体" w:cs="宋体"/>
                <w:bCs/>
                <w:szCs w:val="21"/>
              </w:rPr>
            </w:pPr>
            <w:r>
              <w:rPr>
                <w:rFonts w:hint="eastAsia" w:ascii="宋体" w:hAnsi="宋体" w:cs="宋体"/>
                <w:bCs/>
                <w:szCs w:val="21"/>
              </w:rPr>
              <w:t>合同设备全部到广州市海珠区石榴岗路13号大院南方医科大学中西医结合医院院内指定地点或采购人指定地点交付并完成安装及验收合格后，凭</w:t>
            </w:r>
          </w:p>
          <w:p w14:paraId="02B7379A">
            <w:pPr>
              <w:spacing w:line="300" w:lineRule="auto"/>
              <w:rPr>
                <w:rFonts w:hint="eastAsia" w:ascii="宋体" w:hAnsi="宋体" w:cs="宋体"/>
                <w:bCs/>
                <w:szCs w:val="21"/>
              </w:rPr>
            </w:pPr>
            <w:r>
              <w:rPr>
                <w:rFonts w:hint="eastAsia" w:ascii="宋体" w:hAnsi="宋体" w:cs="宋体"/>
                <w:bCs/>
                <w:szCs w:val="21"/>
              </w:rPr>
              <w:t>（1）采购人收货证明（或供应商送货单采购人签字）；</w:t>
            </w:r>
          </w:p>
          <w:p w14:paraId="49DCB635">
            <w:pPr>
              <w:spacing w:line="300" w:lineRule="auto"/>
              <w:rPr>
                <w:rFonts w:hint="eastAsia" w:ascii="宋体" w:hAnsi="宋体" w:cs="宋体"/>
                <w:bCs/>
                <w:szCs w:val="21"/>
              </w:rPr>
            </w:pPr>
            <w:r>
              <w:rPr>
                <w:rFonts w:hint="eastAsia" w:ascii="宋体" w:hAnsi="宋体" w:cs="宋体"/>
                <w:bCs/>
                <w:szCs w:val="21"/>
              </w:rPr>
              <w:t>（2）供应商开具设备款总额100%的正式发票（</w:t>
            </w:r>
            <w:r>
              <w:t>发票中货物名称、型号规格必须与注册证一致，注册证号（卫生许可证号、卫生许可证批号或计量证号）全称在货物名称后标注</w:t>
            </w:r>
            <w:r>
              <w:rPr>
                <w:rFonts w:hint="eastAsia" w:ascii="宋体" w:hAnsi="宋体" w:cs="宋体"/>
                <w:bCs/>
                <w:szCs w:val="21"/>
              </w:rPr>
              <w:t>）；</w:t>
            </w:r>
          </w:p>
          <w:p w14:paraId="3346EFFD">
            <w:pPr>
              <w:spacing w:line="300" w:lineRule="auto"/>
              <w:rPr>
                <w:rFonts w:hint="eastAsia" w:ascii="宋体" w:hAnsi="宋体" w:cs="宋体"/>
                <w:bCs/>
                <w:szCs w:val="21"/>
              </w:rPr>
            </w:pPr>
            <w:r>
              <w:rPr>
                <w:rFonts w:hint="eastAsia" w:ascii="宋体" w:hAnsi="宋体" w:cs="宋体"/>
                <w:bCs/>
                <w:szCs w:val="21"/>
              </w:rPr>
              <w:t>（3）调试使用意见（采购人验收报告）。</w:t>
            </w:r>
          </w:p>
          <w:p w14:paraId="43719A7F">
            <w:pPr>
              <w:spacing w:line="300" w:lineRule="auto"/>
              <w:rPr>
                <w:rFonts w:hint="eastAsia" w:ascii="宋体" w:hAnsi="宋体" w:cs="宋体"/>
                <w:bCs/>
                <w:szCs w:val="21"/>
              </w:rPr>
            </w:pPr>
            <w:r>
              <w:rPr>
                <w:rFonts w:hint="eastAsia" w:ascii="宋体" w:hAnsi="宋体" w:cs="宋体"/>
                <w:bCs/>
                <w:szCs w:val="21"/>
              </w:rPr>
              <w:t>（4）厂家出具的保修售后服务承诺书。</w:t>
            </w:r>
          </w:p>
          <w:p w14:paraId="7840CEF4">
            <w:pPr>
              <w:spacing w:line="300" w:lineRule="auto"/>
              <w:rPr>
                <w:rFonts w:hint="eastAsia" w:ascii="宋体" w:hAnsi="宋体" w:cs="宋体"/>
                <w:bCs/>
                <w:szCs w:val="21"/>
              </w:rPr>
            </w:pPr>
            <w:r>
              <w:rPr>
                <w:rFonts w:hint="eastAsia" w:ascii="宋体" w:hAnsi="宋体" w:cs="宋体"/>
                <w:bCs/>
                <w:szCs w:val="21"/>
              </w:rPr>
              <w:t>（5）履约保证金缴纳凭证;</w:t>
            </w:r>
          </w:p>
          <w:p w14:paraId="69505828">
            <w:pPr>
              <w:spacing w:line="300" w:lineRule="auto"/>
              <w:rPr>
                <w:rFonts w:hint="eastAsia" w:ascii="宋体" w:hAnsi="宋体" w:cs="宋体"/>
                <w:szCs w:val="21"/>
              </w:rPr>
            </w:pPr>
            <w:r>
              <w:t>采购人收到上述票据和资料</w:t>
            </w:r>
            <w:r>
              <w:rPr>
                <w:rFonts w:hint="eastAsia" w:ascii="宋体" w:hAnsi="宋体" w:cs="宋体"/>
                <w:bCs/>
                <w:szCs w:val="21"/>
              </w:rPr>
              <w:t>，供应商开具的正式发票且验收合格后</w:t>
            </w:r>
            <w:r>
              <w:rPr>
                <w:rFonts w:ascii="宋体" w:hAnsi="宋体" w:cs="宋体"/>
                <w:bCs/>
                <w:szCs w:val="21"/>
              </w:rPr>
              <w:t>30</w:t>
            </w:r>
            <w:r>
              <w:rPr>
                <w:rFonts w:hint="eastAsia" w:ascii="宋体" w:hAnsi="宋体" w:cs="宋体"/>
                <w:bCs/>
                <w:szCs w:val="21"/>
              </w:rPr>
              <w:t>个工作日内向供应商支付合同款100%，人民币万仟佰元整（¥00000.00）。</w:t>
            </w:r>
            <w:r>
              <w:rPr>
                <w:rFonts w:hint="eastAsia"/>
              </w:rPr>
              <w:t>若采购人使用的是财政资金，如因财政支付部门审核时间导致无法按期支付的，由双方协商处理，采购人不承担违约责任。</w:t>
            </w:r>
          </w:p>
        </w:tc>
      </w:tr>
      <w:tr w14:paraId="4A98E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8" w:type="pct"/>
            <w:vAlign w:val="center"/>
          </w:tcPr>
          <w:p w14:paraId="672491C4">
            <w:pPr>
              <w:pStyle w:val="59"/>
              <w:jc w:val="center"/>
              <w:rPr>
                <w:rFonts w:ascii="宋体" w:hAnsi="宋体" w:cs="宋体"/>
                <w:sz w:val="21"/>
                <w:szCs w:val="21"/>
              </w:rPr>
            </w:pPr>
            <w:r>
              <w:rPr>
                <w:rFonts w:ascii="宋体" w:hAnsi="宋体" w:cs="宋体"/>
                <w:sz w:val="21"/>
                <w:szCs w:val="21"/>
              </w:rPr>
              <w:t>验收要求</w:t>
            </w:r>
          </w:p>
        </w:tc>
        <w:tc>
          <w:tcPr>
            <w:tcW w:w="4421" w:type="pct"/>
            <w:vAlign w:val="center"/>
          </w:tcPr>
          <w:p w14:paraId="00F8FFF9">
            <w:pPr>
              <w:numPr>
                <w:ilvl w:val="0"/>
                <w:numId w:val="8"/>
              </w:numPr>
              <w:spacing w:line="300" w:lineRule="auto"/>
              <w:rPr>
                <w:rFonts w:hint="eastAsia" w:ascii="宋体" w:hAnsi="宋体" w:cs="宋体"/>
                <w:bCs/>
                <w:szCs w:val="21"/>
              </w:rPr>
            </w:pPr>
            <w:r>
              <w:rPr>
                <w:rFonts w:hint="eastAsia" w:ascii="宋体" w:hAnsi="宋体" w:cs="宋体"/>
                <w:bCs/>
                <w:szCs w:val="21"/>
              </w:rPr>
              <w:t>设备的包装</w:t>
            </w:r>
          </w:p>
          <w:p w14:paraId="6B8098EB">
            <w:pPr>
              <w:spacing w:line="300" w:lineRule="auto"/>
              <w:rPr>
                <w:rFonts w:hint="eastAsia" w:ascii="宋体" w:hAnsi="宋体" w:cs="宋体"/>
                <w:bCs/>
                <w:szCs w:val="21"/>
              </w:rPr>
            </w:pPr>
            <w:r>
              <w:rPr>
                <w:rFonts w:hint="eastAsia" w:ascii="宋体" w:hAnsi="宋体" w:cs="宋体"/>
                <w:bCs/>
                <w:szCs w:val="21"/>
              </w:rPr>
              <w:t>设备的包装均应有良好的防潮、防湿、防雨、防腐和防碰撞的措施。凡由于包装不良造成的损失和由此产生的费用均由</w:t>
            </w:r>
            <w:r>
              <w:rPr>
                <w:rFonts w:hint="eastAsia"/>
                <w:szCs w:val="21"/>
              </w:rPr>
              <w:t>供应商</w:t>
            </w:r>
            <w:r>
              <w:rPr>
                <w:rFonts w:hint="eastAsia" w:ascii="宋体" w:hAnsi="宋体" w:cs="宋体"/>
                <w:bCs/>
                <w:szCs w:val="21"/>
              </w:rPr>
              <w:t>承担。</w:t>
            </w:r>
          </w:p>
          <w:p w14:paraId="3F7768AE">
            <w:pPr>
              <w:spacing w:line="300" w:lineRule="auto"/>
              <w:rPr>
                <w:rFonts w:hint="eastAsia" w:ascii="宋体" w:hAnsi="宋体" w:cs="宋体"/>
                <w:bCs/>
                <w:szCs w:val="21"/>
              </w:rPr>
            </w:pPr>
            <w:r>
              <w:rPr>
                <w:rFonts w:hint="eastAsia" w:ascii="宋体" w:hAnsi="宋体" w:cs="宋体"/>
                <w:bCs/>
                <w:szCs w:val="21"/>
              </w:rPr>
              <w:t>（二）设备的安装</w:t>
            </w:r>
          </w:p>
          <w:p w14:paraId="62F7C396">
            <w:pPr>
              <w:spacing w:line="300" w:lineRule="auto"/>
              <w:rPr>
                <w:rFonts w:hint="eastAsia" w:ascii="宋体" w:hAnsi="宋体" w:cs="宋体"/>
                <w:bCs/>
                <w:szCs w:val="21"/>
              </w:rPr>
            </w:pPr>
            <w:r>
              <w:rPr>
                <w:rFonts w:hint="eastAsia" w:ascii="宋体" w:hAnsi="宋体" w:cs="宋体"/>
                <w:bCs/>
                <w:szCs w:val="21"/>
              </w:rPr>
              <w:t>供应商应及时与采购人协商安排设备安装调试，安装调试所发生费用及耗材由供应商承担。供应商负责设备运输、搬运和拆卸以及所需要的搬运和安装工具。安装时须对场地内的其他设备、设施采取良好的保护措施。及时清理拆箱和安装产生的物料。</w:t>
            </w:r>
          </w:p>
          <w:p w14:paraId="56172C4E">
            <w:pPr>
              <w:spacing w:line="300" w:lineRule="auto"/>
              <w:rPr>
                <w:rFonts w:hint="eastAsia" w:ascii="宋体" w:hAnsi="宋体" w:cs="宋体"/>
                <w:bCs/>
                <w:szCs w:val="21"/>
              </w:rPr>
            </w:pPr>
            <w:r>
              <w:rPr>
                <w:rFonts w:hint="eastAsia" w:ascii="宋体" w:hAnsi="宋体" w:cs="宋体"/>
                <w:bCs/>
                <w:szCs w:val="21"/>
              </w:rPr>
              <w:t>（三）设备的验收</w:t>
            </w:r>
          </w:p>
          <w:p w14:paraId="520B8BDE">
            <w:pPr>
              <w:spacing w:line="300" w:lineRule="auto"/>
            </w:pPr>
            <w:r>
              <w:t>1.</w:t>
            </w:r>
            <w:r>
              <w:rPr>
                <w:rFonts w:hint="eastAsia"/>
              </w:rPr>
              <w:t>设备应具备合格证、进口检验证明或其它合法进货渠道证明，否则不予验收。设备到采购人指定地点后应在采购人、供应商双方共同参加下进行验收。</w:t>
            </w:r>
          </w:p>
          <w:p w14:paraId="2001B431">
            <w:pPr>
              <w:spacing w:line="300" w:lineRule="auto"/>
            </w:pPr>
            <w:r>
              <w:t>2.</w:t>
            </w:r>
            <w:r>
              <w:rPr>
                <w:rFonts w:hint="eastAsia"/>
              </w:rPr>
              <w:t>验收按采购文件、响应文件约定功能参数及国家有关的规定、规范进行。验收时如发现所交付的设备有短装、次品、损坏、功能参数不符合要求或其它不符合本采购合同规定之情形者，采购人应作出详尽的现场记录，采购人有权拒收。供应商应在十五天内更换设备。此现场记录或备忘录可用作补充、缺失和更换损坏部件的有效证据。由此产生的有关费用由供应商承担。属于强制检定的设备必须提供检定合格证书或由采购人邀请有资质部门检定，费用由</w:t>
            </w:r>
            <w:r>
              <w:rPr>
                <w:rFonts w:hint="eastAsia"/>
                <w:szCs w:val="21"/>
              </w:rPr>
              <w:t>供应商</w:t>
            </w:r>
            <w:r>
              <w:rPr>
                <w:rFonts w:hint="eastAsia"/>
              </w:rPr>
              <w:t>负责。国家规定由第三方验收的，由双方协商邀请有资质部门验收，费用由</w:t>
            </w:r>
            <w:r>
              <w:rPr>
                <w:rFonts w:hint="eastAsia"/>
                <w:szCs w:val="21"/>
              </w:rPr>
              <w:t>供应商</w:t>
            </w:r>
            <w:r>
              <w:rPr>
                <w:rFonts w:hint="eastAsia"/>
              </w:rPr>
              <w:t>负责。需要与医院信息系统联网的，供应商必须开放接口，并协助联网，相关费用已包含在投标</w:t>
            </w:r>
            <w:r>
              <w:rPr>
                <w:rFonts w:hint="eastAsia"/>
                <w:szCs w:val="21"/>
              </w:rPr>
              <w:t>总价</w:t>
            </w:r>
            <w:r>
              <w:rPr>
                <w:rFonts w:hint="eastAsia"/>
              </w:rPr>
              <w:t>中。</w:t>
            </w:r>
            <w:bookmarkStart w:id="12" w:name="OLE_LINK3"/>
            <w:r>
              <w:rPr>
                <w:rFonts w:hint="eastAsia"/>
              </w:rPr>
              <w:t>设备安装调试后验收时如发现有不符合本项目采购合同规定之情形者，采购人应做出详尽的现场记录，或由采购人、供应商双方签署备忘录。此现场记录或备忘录可用作补充、缺失和更换损坏部件的有效证据。由此产生的有关费用由供应商承担</w:t>
            </w:r>
            <w:bookmarkEnd w:id="12"/>
            <w:r>
              <w:rPr>
                <w:rFonts w:hint="eastAsia"/>
              </w:rPr>
              <w:t>。</w:t>
            </w:r>
            <w:r>
              <w:t>3.</w:t>
            </w:r>
            <w:r>
              <w:rPr>
                <w:rFonts w:hint="eastAsia"/>
              </w:rPr>
              <w:t>供应商应将设备的用户手册、保修手册、操作流程、维护流程等有关资料各二套（并提供电子版）等提供给采购人。设备内配置的软件系统不应设置密码或需将密码告知采购人，相关费用已包含在投标</w:t>
            </w:r>
            <w:r>
              <w:rPr>
                <w:rFonts w:hint="eastAsia"/>
                <w:szCs w:val="21"/>
              </w:rPr>
              <w:t>总价</w:t>
            </w:r>
            <w:r>
              <w:rPr>
                <w:rFonts w:hint="eastAsia"/>
              </w:rPr>
              <w:t>中。</w:t>
            </w:r>
          </w:p>
          <w:p w14:paraId="7C6A8EE5">
            <w:pPr>
              <w:spacing w:line="300" w:lineRule="auto"/>
            </w:pPr>
            <w:r>
              <w:t>4.</w:t>
            </w:r>
            <w:r>
              <w:rPr>
                <w:rFonts w:hint="eastAsia"/>
              </w:rPr>
              <w:t>供应商交齐验收所需资料后7个工作日内对货物进行验收。在约定验收的日期前，供应商必须协助采购人完成各项指标和功能的测试，并完成各项培训至能掌握操作方法和简单的维修，现场验收时供应商提供必要的技术支持，否则，因验收延误造成的损失由供应商负责，相关费用已包含在投标</w:t>
            </w:r>
            <w:r>
              <w:rPr>
                <w:rFonts w:hint="eastAsia"/>
                <w:szCs w:val="21"/>
              </w:rPr>
              <w:t>总价</w:t>
            </w:r>
            <w:r>
              <w:rPr>
                <w:rFonts w:hint="eastAsia"/>
              </w:rPr>
              <w:t>中。</w:t>
            </w:r>
          </w:p>
          <w:p w14:paraId="1EF8D1E4">
            <w:pPr>
              <w:spacing w:line="300" w:lineRule="auto"/>
              <w:rPr>
                <w:rFonts w:hint="eastAsia" w:ascii="宋体" w:hAnsi="宋体" w:cs="宋体"/>
                <w:szCs w:val="21"/>
              </w:rPr>
            </w:pPr>
            <w:r>
              <w:t>5.</w:t>
            </w:r>
            <w:r>
              <w:rPr>
                <w:rFonts w:hint="eastAsia"/>
              </w:rPr>
              <w:t>设备通过验收，经采购人确认并出具书面验收合格证明，视为验收合格。供应商保证所有资料的真实性、合法有效性，资料不齐全或不真实采购人不予验收。</w:t>
            </w:r>
          </w:p>
        </w:tc>
      </w:tr>
      <w:tr w14:paraId="69FE8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578" w:type="pct"/>
            <w:vAlign w:val="center"/>
          </w:tcPr>
          <w:p w14:paraId="6682158D">
            <w:pPr>
              <w:pStyle w:val="59"/>
              <w:jc w:val="center"/>
              <w:rPr>
                <w:rFonts w:ascii="宋体" w:hAnsi="宋体" w:cs="宋体"/>
                <w:sz w:val="21"/>
                <w:szCs w:val="21"/>
              </w:rPr>
            </w:pPr>
            <w:r>
              <w:rPr>
                <w:rFonts w:ascii="宋体" w:hAnsi="宋体" w:cs="宋体"/>
                <w:sz w:val="21"/>
                <w:szCs w:val="21"/>
              </w:rPr>
              <w:t>履约保证金</w:t>
            </w:r>
          </w:p>
        </w:tc>
        <w:tc>
          <w:tcPr>
            <w:tcW w:w="4421" w:type="pct"/>
            <w:vAlign w:val="center"/>
          </w:tcPr>
          <w:p w14:paraId="2781BE61">
            <w:pPr>
              <w:widowControl/>
              <w:rPr>
                <w:rFonts w:hint="eastAsia" w:ascii="宋体" w:hAnsi="宋体" w:cs="宋体"/>
                <w:szCs w:val="21"/>
              </w:rPr>
            </w:pPr>
            <w:r>
              <w:rPr>
                <w:rFonts w:hint="eastAsia" w:ascii="宋体" w:hAnsi="宋体" w:cs="宋体"/>
                <w:szCs w:val="21"/>
              </w:rPr>
              <w:t>账号：44050110432109888888</w:t>
            </w:r>
          </w:p>
          <w:p w14:paraId="37716841">
            <w:pPr>
              <w:widowControl/>
              <w:rPr>
                <w:rFonts w:hint="eastAsia" w:ascii="宋体" w:hAnsi="宋体" w:cs="宋体"/>
                <w:szCs w:val="21"/>
              </w:rPr>
            </w:pPr>
            <w:r>
              <w:rPr>
                <w:rFonts w:hint="eastAsia" w:ascii="宋体" w:hAnsi="宋体" w:cs="宋体"/>
                <w:szCs w:val="21"/>
              </w:rPr>
              <w:t>户名：南方医科大学中西医结合医院</w:t>
            </w:r>
          </w:p>
          <w:p w14:paraId="14B9575D">
            <w:pPr>
              <w:widowControl/>
              <w:rPr>
                <w:rFonts w:hint="eastAsia" w:ascii="宋体" w:hAnsi="宋体" w:cs="宋体"/>
                <w:szCs w:val="21"/>
              </w:rPr>
            </w:pPr>
            <w:r>
              <w:rPr>
                <w:rFonts w:hint="eastAsia" w:ascii="宋体" w:hAnsi="宋体" w:cs="宋体"/>
                <w:szCs w:val="21"/>
              </w:rPr>
              <w:t>开户行：中国建设银行广州石榴岗支行</w:t>
            </w:r>
          </w:p>
          <w:p w14:paraId="255944C8">
            <w:pPr>
              <w:widowControl/>
              <w:rPr>
                <w:rFonts w:hint="eastAsia" w:ascii="宋体" w:hAnsi="宋体" w:cs="宋体"/>
                <w:szCs w:val="21"/>
              </w:rPr>
            </w:pPr>
            <w:r>
              <w:rPr>
                <w:rFonts w:hint="eastAsia" w:ascii="宋体" w:hAnsi="宋体" w:cs="宋体"/>
                <w:szCs w:val="21"/>
              </w:rPr>
              <w:t>支票提交方式：线下提交</w:t>
            </w:r>
          </w:p>
          <w:p w14:paraId="6CB076C2">
            <w:pPr>
              <w:widowControl/>
              <w:rPr>
                <w:rFonts w:hint="eastAsia" w:ascii="宋体" w:hAnsi="宋体" w:cs="宋体"/>
                <w:szCs w:val="21"/>
              </w:rPr>
            </w:pPr>
            <w:r>
              <w:rPr>
                <w:rFonts w:hint="eastAsia" w:ascii="宋体" w:hAnsi="宋体" w:cs="宋体"/>
                <w:szCs w:val="21"/>
              </w:rPr>
              <w:t>汇票、本票提交方式：线下提交</w:t>
            </w:r>
          </w:p>
          <w:p w14:paraId="48C8E2F7">
            <w:pPr>
              <w:widowControl/>
              <w:rPr>
                <w:rFonts w:hint="eastAsia" w:ascii="宋体" w:hAnsi="宋体" w:cs="宋体"/>
                <w:szCs w:val="21"/>
              </w:rPr>
            </w:pPr>
            <w:r>
              <w:rPr>
                <w:rFonts w:hint="eastAsia" w:ascii="宋体" w:hAnsi="宋体" w:cs="宋体"/>
                <w:szCs w:val="21"/>
              </w:rPr>
              <w:t>1.说明：供应商在合同签订后15个工作日内（以支票、汇票等非现金形式提交）向采购人提交履约保证金（合同总价的5%）。</w:t>
            </w:r>
          </w:p>
          <w:p w14:paraId="5DB80C8C">
            <w:pPr>
              <w:widowControl/>
              <w:rPr>
                <w:rFonts w:hint="eastAsia" w:ascii="宋体" w:hAnsi="宋体" w:cs="宋体"/>
                <w:szCs w:val="21"/>
              </w:rPr>
            </w:pPr>
            <w:r>
              <w:rPr>
                <w:rFonts w:hint="eastAsia" w:ascii="宋体" w:hAnsi="宋体" w:cs="宋体"/>
                <w:szCs w:val="21"/>
              </w:rPr>
              <w:t>2.退还说明：</w:t>
            </w:r>
            <w:r>
              <w:rPr>
                <w:rFonts w:hint="eastAsia" w:ascii="宋体" w:hAnsi="宋体" w:cs="宋体"/>
                <w:szCs w:val="21"/>
              </w:rPr>
              <w:br w:type="textWrapping"/>
            </w:r>
            <w:r>
              <w:rPr>
                <w:rFonts w:hint="eastAsia" w:ascii="宋体" w:hAnsi="宋体" w:cs="宋体"/>
                <w:szCs w:val="21"/>
              </w:rPr>
              <w:t>（1）合同设备全部送到广州市海珠区石榴岗路13号大院南方医科大学中西医结合医院交付并安装及验收合格，在保修期结束后，由</w:t>
            </w:r>
            <w:r>
              <w:rPr>
                <w:rFonts w:hint="eastAsia"/>
                <w:szCs w:val="21"/>
              </w:rPr>
              <w:t>供应商</w:t>
            </w:r>
            <w:r>
              <w:rPr>
                <w:rFonts w:hint="eastAsia" w:ascii="宋体" w:hAnsi="宋体" w:cs="宋体"/>
                <w:szCs w:val="21"/>
              </w:rPr>
              <w:t>提出申请，采购人依法依规向供应商退还履约保证金的解除担保或完成履约保证金的一次性免息的支付手续。</w:t>
            </w:r>
            <w:r>
              <w:rPr>
                <w:rFonts w:hint="eastAsia" w:ascii="宋体" w:hAnsi="宋体" w:cs="宋体"/>
                <w:szCs w:val="21"/>
              </w:rPr>
              <w:br w:type="textWrapping"/>
            </w:r>
            <w:r>
              <w:rPr>
                <w:rFonts w:hint="eastAsia" w:ascii="宋体" w:hAnsi="宋体" w:cs="宋体"/>
                <w:szCs w:val="21"/>
              </w:rPr>
              <w:t>（2）如发生违约，甲方可从履约保证金中扣除，于合同期满或合同中止后结算。</w:t>
            </w:r>
            <w:r>
              <w:rPr>
                <w:rFonts w:hint="eastAsia" w:ascii="宋体" w:hAnsi="宋体" w:cs="宋体"/>
                <w:szCs w:val="21"/>
              </w:rPr>
              <w:br w:type="textWrapping"/>
            </w:r>
            <w:r>
              <w:rPr>
                <w:rFonts w:hint="eastAsia" w:ascii="宋体" w:hAnsi="宋体" w:cs="宋体"/>
                <w:szCs w:val="21"/>
              </w:rPr>
              <w:t>3.不予退还的情形：</w:t>
            </w:r>
            <w:r>
              <w:rPr>
                <w:rFonts w:hint="eastAsia" w:ascii="宋体" w:hAnsi="宋体" w:cs="宋体"/>
                <w:szCs w:val="21"/>
              </w:rPr>
              <w:br w:type="textWrapping"/>
            </w:r>
            <w:r>
              <w:rPr>
                <w:rFonts w:hint="eastAsia" w:ascii="宋体" w:hAnsi="宋体" w:cs="宋体"/>
                <w:szCs w:val="21"/>
              </w:rPr>
              <w:t>（1）供应商拒绝履行合同义务的；</w:t>
            </w:r>
          </w:p>
          <w:p w14:paraId="78C6497F">
            <w:pPr>
              <w:widowControl/>
              <w:rPr>
                <w:rFonts w:hint="eastAsia" w:ascii="宋体" w:hAnsi="宋体" w:cs="宋体"/>
                <w:szCs w:val="21"/>
              </w:rPr>
            </w:pPr>
            <w:r>
              <w:rPr>
                <w:rFonts w:hint="eastAsia" w:ascii="宋体" w:hAnsi="宋体" w:cs="宋体"/>
                <w:szCs w:val="21"/>
              </w:rPr>
              <w:t>（2）履约验收不合格的。</w:t>
            </w:r>
          </w:p>
        </w:tc>
      </w:tr>
      <w:tr w14:paraId="42FFD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80" w:hRule="atLeast"/>
        </w:trPr>
        <w:tc>
          <w:tcPr>
            <w:tcW w:w="578" w:type="pct"/>
            <w:vAlign w:val="center"/>
          </w:tcPr>
          <w:p w14:paraId="64FCDA4D">
            <w:pPr>
              <w:pStyle w:val="59"/>
              <w:jc w:val="center"/>
              <w:rPr>
                <w:rFonts w:hint="default"/>
                <w:sz w:val="21"/>
                <w:szCs w:val="21"/>
              </w:rPr>
            </w:pPr>
            <w:r>
              <w:rPr>
                <w:sz w:val="21"/>
                <w:szCs w:val="21"/>
              </w:rPr>
              <w:t>其他</w:t>
            </w:r>
          </w:p>
        </w:tc>
        <w:tc>
          <w:tcPr>
            <w:tcW w:w="4421" w:type="pct"/>
            <w:vAlign w:val="center"/>
          </w:tcPr>
          <w:p w14:paraId="534F9A15">
            <w:pPr>
              <w:pStyle w:val="59"/>
              <w:jc w:val="both"/>
              <w:rPr>
                <w:rFonts w:hint="default"/>
                <w:sz w:val="21"/>
                <w:szCs w:val="21"/>
              </w:rPr>
            </w:pPr>
            <w:r>
              <w:rPr>
                <w:sz w:val="21"/>
                <w:szCs w:val="21"/>
                <w:lang w:eastAsia="zh-CN"/>
              </w:rPr>
              <w:t>1.供应商</w:t>
            </w:r>
            <w:r>
              <w:rPr>
                <w:sz w:val="21"/>
                <w:szCs w:val="21"/>
              </w:rPr>
              <w:t>应报货交采购人指定地点/仓库（包括安装至指定位置）人民币含税价（包括但不限于</w:t>
            </w:r>
            <w:r>
              <w:rPr>
                <w:sz w:val="21"/>
                <w:szCs w:val="21"/>
                <w:lang w:eastAsia="zh-CN"/>
              </w:rPr>
              <w:t>包装、</w:t>
            </w:r>
            <w:r>
              <w:rPr>
                <w:sz w:val="21"/>
                <w:szCs w:val="21"/>
              </w:rPr>
              <w:t>仓储</w:t>
            </w:r>
            <w:r>
              <w:rPr>
                <w:sz w:val="21"/>
                <w:szCs w:val="21"/>
                <w:lang w:eastAsia="zh-CN"/>
              </w:rPr>
              <w:t>、</w:t>
            </w:r>
            <w:r>
              <w:rPr>
                <w:sz w:val="21"/>
                <w:szCs w:val="21"/>
              </w:rPr>
              <w:t>运输装卸、保险、安装、培训辅导、保修及售后服务、关税、销售税、其他税以及合同包含的所有风险、责任等各项应有费用），并按开标一览表及分项报价表进行明细报价。</w:t>
            </w:r>
          </w:p>
          <w:p w14:paraId="2FD6F6DD">
            <w:pPr>
              <w:pStyle w:val="59"/>
              <w:jc w:val="both"/>
              <w:rPr>
                <w:rFonts w:hint="default"/>
                <w:sz w:val="21"/>
                <w:szCs w:val="21"/>
                <w:lang w:eastAsia="zh-CN"/>
              </w:rPr>
            </w:pPr>
            <w:r>
              <w:rPr>
                <w:sz w:val="21"/>
                <w:szCs w:val="21"/>
                <w:lang w:eastAsia="zh-CN"/>
              </w:rPr>
              <w:t>2.</w:t>
            </w:r>
            <w:r>
              <w:rPr>
                <w:sz w:val="21"/>
                <w:szCs w:val="21"/>
              </w:rPr>
              <w:t>合同设备的包装</w:t>
            </w:r>
            <w:r>
              <w:rPr>
                <w:sz w:val="21"/>
                <w:szCs w:val="21"/>
                <w:lang w:eastAsia="zh-CN"/>
              </w:rPr>
              <w:t>:</w:t>
            </w:r>
            <w:r>
              <w:rPr>
                <w:sz w:val="21"/>
                <w:szCs w:val="21"/>
              </w:rPr>
              <w:t>设备的包装均应有良好的防潮、防湿、防雨、防腐和防碰撞的措施。凡由于包装不良造成的损失和由此产生的费用均由</w:t>
            </w:r>
            <w:r>
              <w:rPr>
                <w:sz w:val="21"/>
                <w:szCs w:val="21"/>
                <w:lang w:eastAsia="zh-CN"/>
              </w:rPr>
              <w:t>供应商</w:t>
            </w:r>
            <w:r>
              <w:rPr>
                <w:sz w:val="21"/>
                <w:szCs w:val="21"/>
              </w:rPr>
              <w:t>承担。</w:t>
            </w:r>
          </w:p>
          <w:p w14:paraId="64C950F4">
            <w:pPr>
              <w:pStyle w:val="59"/>
              <w:jc w:val="both"/>
              <w:rPr>
                <w:rFonts w:hint="default"/>
                <w:sz w:val="21"/>
                <w:szCs w:val="21"/>
                <w:lang w:eastAsia="zh-CN"/>
              </w:rPr>
            </w:pPr>
            <w:r>
              <w:rPr>
                <w:sz w:val="21"/>
                <w:szCs w:val="21"/>
                <w:lang w:eastAsia="zh-CN"/>
              </w:rPr>
              <w:t>3.质量保证及售后服务：</w:t>
            </w:r>
          </w:p>
          <w:p w14:paraId="1A338439">
            <w:pPr>
              <w:pStyle w:val="59"/>
              <w:jc w:val="both"/>
              <w:rPr>
                <w:rFonts w:hint="default"/>
                <w:sz w:val="21"/>
                <w:szCs w:val="21"/>
              </w:rPr>
            </w:pPr>
            <w:r>
              <w:rPr>
                <w:sz w:val="21"/>
                <w:szCs w:val="21"/>
              </w:rPr>
              <w:t>★（1）供应商保证合同设备是</w:t>
            </w:r>
            <w:r>
              <w:rPr>
                <w:rFonts w:hint="eastAsia"/>
                <w:sz w:val="21"/>
                <w:szCs w:val="21"/>
                <w:lang w:val="en-US" w:eastAsia="zh-CN"/>
              </w:rPr>
              <w:t>合同签订之日起</w:t>
            </w:r>
            <w:r>
              <w:rPr>
                <w:sz w:val="21"/>
                <w:szCs w:val="21"/>
              </w:rPr>
              <w:t>壹年内生产的全新、未曾使用过的，且进货渠道合法，并符合国家有关标准的设备。其质量、规格及技术特征符合合同附件的要求</w:t>
            </w:r>
            <w:r>
              <w:rPr>
                <w:rFonts w:hint="eastAsia"/>
                <w:sz w:val="21"/>
                <w:szCs w:val="21"/>
                <w:lang w:eastAsia="zh-CN"/>
              </w:rPr>
              <w:t>。合同设备</w:t>
            </w:r>
            <w:r>
              <w:rPr>
                <w:rFonts w:hint="eastAsia"/>
                <w:sz w:val="21"/>
                <w:szCs w:val="21"/>
                <w:lang w:val="en-US" w:eastAsia="zh-CN"/>
              </w:rPr>
              <w:t>中</w:t>
            </w:r>
            <w:r>
              <w:rPr>
                <w:rFonts w:hint="eastAsia"/>
                <w:sz w:val="21"/>
                <w:szCs w:val="21"/>
                <w:lang w:eastAsia="zh-CN"/>
              </w:rPr>
              <w:t>直接影响治疗输出的</w:t>
            </w:r>
            <w:r>
              <w:rPr>
                <w:rFonts w:hint="eastAsia"/>
                <w:sz w:val="21"/>
                <w:szCs w:val="21"/>
                <w:lang w:val="en-US" w:eastAsia="zh-CN"/>
              </w:rPr>
              <w:t>的</w:t>
            </w:r>
            <w:r>
              <w:rPr>
                <w:rFonts w:hint="eastAsia"/>
                <w:sz w:val="21"/>
                <w:szCs w:val="21"/>
                <w:lang w:eastAsia="zh-CN"/>
              </w:rPr>
              <w:t>核心</w:t>
            </w:r>
            <w:r>
              <w:rPr>
                <w:rFonts w:hint="eastAsia"/>
                <w:sz w:val="21"/>
                <w:szCs w:val="21"/>
                <w:lang w:val="en-US" w:eastAsia="zh-CN"/>
              </w:rPr>
              <w:t>功能</w:t>
            </w:r>
            <w:r>
              <w:rPr>
                <w:rFonts w:hint="eastAsia"/>
                <w:sz w:val="21"/>
                <w:szCs w:val="21"/>
                <w:lang w:eastAsia="zh-CN"/>
              </w:rPr>
              <w:t>部件（</w:t>
            </w:r>
            <w:r>
              <w:rPr>
                <w:rFonts w:hint="eastAsia"/>
                <w:sz w:val="21"/>
                <w:szCs w:val="21"/>
                <w:lang w:val="en-US" w:eastAsia="zh-CN"/>
              </w:rPr>
              <w:t>包括但不限于</w:t>
            </w:r>
            <w:r>
              <w:rPr>
                <w:rFonts w:hint="default" w:ascii="Times New Roman" w:hAnsi="Times New Roman"/>
                <w:sz w:val="21"/>
                <w:szCs w:val="21"/>
                <w:lang w:eastAsia="zh-CN"/>
              </w:rPr>
              <w:t>308nm</w:t>
            </w:r>
            <w:r>
              <w:rPr>
                <w:rFonts w:hint="eastAsia" w:ascii="Times New Roman" w:hAnsi="Times New Roman"/>
                <w:sz w:val="21"/>
                <w:szCs w:val="21"/>
                <w:lang w:val="en-US" w:eastAsia="zh-CN"/>
              </w:rPr>
              <w:t>治疗光源、光纤导光部件</w:t>
            </w:r>
            <w:r>
              <w:rPr>
                <w:rFonts w:hint="eastAsia"/>
                <w:sz w:val="21"/>
                <w:szCs w:val="21"/>
                <w:lang w:eastAsia="zh-CN"/>
              </w:rPr>
              <w:t>、计量计时芯片</w:t>
            </w:r>
            <w:r>
              <w:rPr>
                <w:rFonts w:hint="eastAsia"/>
                <w:sz w:val="21"/>
                <w:szCs w:val="21"/>
                <w:lang w:val="en-US" w:eastAsia="zh-CN"/>
              </w:rPr>
              <w:t>等</w:t>
            </w:r>
            <w:r>
              <w:rPr>
                <w:rFonts w:hint="eastAsia"/>
                <w:sz w:val="21"/>
                <w:szCs w:val="21"/>
                <w:lang w:eastAsia="zh-CN"/>
              </w:rPr>
              <w:t>），亦须为自前述日期起壹年内生产的全新部件，供应商应在交货时提供上述核心部件的生产日期证明（如部件出厂合格证、铭牌标识、出厂检测报告等）。</w:t>
            </w:r>
            <w:r>
              <w:rPr>
                <w:sz w:val="21"/>
                <w:szCs w:val="21"/>
              </w:rPr>
              <w:t>进口产品需在供货时提供合同内设备的报关单和商检证明文件。如设备质量或规格与合同不符，或证实设备是有缺陷的，乙方应在接到甲方通知后15天内负责更换符合标准的同型号设备，其费用由乙方负担。同时，乙方应按本合同规定，相应延长设备保修期。</w:t>
            </w:r>
          </w:p>
          <w:p w14:paraId="4564418B">
            <w:pPr>
              <w:pStyle w:val="59"/>
              <w:jc w:val="both"/>
              <w:rPr>
                <w:rFonts w:hint="default"/>
                <w:sz w:val="21"/>
                <w:szCs w:val="21"/>
                <w:lang w:eastAsia="zh-CN"/>
              </w:rPr>
            </w:pPr>
            <w:r>
              <w:rPr>
                <w:rFonts w:ascii="宋体" w:hAnsi="宋体" w:cs="宋体"/>
                <w:sz w:val="21"/>
                <w:szCs w:val="21"/>
              </w:rPr>
              <w:t>★</w:t>
            </w:r>
            <w:r>
              <w:rPr>
                <w:sz w:val="21"/>
                <w:szCs w:val="21"/>
                <w:lang w:eastAsia="zh-CN"/>
              </w:rPr>
              <w:t>（2）合同内设备保修期为本项目有关部门验收合格之日起3年（整机原厂保修）。每年至少定期检修维护二次。第三方产品保修≥5年，软件升级（费用已包含在投标总价中）。</w:t>
            </w:r>
          </w:p>
          <w:p w14:paraId="32334C3C">
            <w:pPr>
              <w:pStyle w:val="59"/>
              <w:jc w:val="both"/>
              <w:rPr>
                <w:rFonts w:hint="default"/>
                <w:sz w:val="21"/>
                <w:szCs w:val="21"/>
                <w:lang w:eastAsia="zh-CN"/>
              </w:rPr>
            </w:pPr>
            <w:r>
              <w:rPr>
                <w:sz w:val="21"/>
                <w:szCs w:val="21"/>
                <w:lang w:eastAsia="zh-CN"/>
              </w:rPr>
              <w:t>（3）保修期内非因采购人的人为原因而出现产品质量及安装问题，由供应商负责包修、包换或包退，并承担因此而产生的一切费用。供应商应在收到采购人通知后24小时内派员到现场维修（用户需求书另有规定除外）。如合同设备在1个月内同一部件出现两次同一故障，供应商应负责无条件更换整机或功能模块。</w:t>
            </w:r>
          </w:p>
          <w:p w14:paraId="7500725C">
            <w:pPr>
              <w:pStyle w:val="59"/>
              <w:jc w:val="both"/>
              <w:rPr>
                <w:rFonts w:hint="default"/>
                <w:sz w:val="21"/>
                <w:szCs w:val="21"/>
                <w:lang w:eastAsia="zh-CN"/>
              </w:rPr>
            </w:pPr>
            <w:r>
              <w:rPr>
                <w:sz w:val="21"/>
                <w:szCs w:val="21"/>
                <w:lang w:eastAsia="zh-CN"/>
              </w:rPr>
              <w:t>（4）保修期内每年按国家标准或产品维护要求进行定期保养，做好保养记录。III类设备每年四次保养，其他类别设备每年至少二次保养。最后一次保养一般安排在保修期结束前一个月进行。</w:t>
            </w:r>
          </w:p>
          <w:p w14:paraId="2D302816">
            <w:pPr>
              <w:pStyle w:val="59"/>
              <w:jc w:val="both"/>
              <w:rPr>
                <w:rFonts w:hint="default"/>
                <w:sz w:val="21"/>
                <w:szCs w:val="21"/>
                <w:lang w:eastAsia="zh-CN"/>
              </w:rPr>
            </w:pPr>
            <w:r>
              <w:rPr>
                <w:sz w:val="21"/>
                <w:szCs w:val="21"/>
                <w:lang w:eastAsia="zh-CN"/>
              </w:rPr>
              <w:t>（5）设备开机率达不到95%的，每降低1%，保修期延长5天。</w:t>
            </w:r>
          </w:p>
          <w:p w14:paraId="2B7EA6CA">
            <w:pPr>
              <w:pStyle w:val="59"/>
              <w:jc w:val="both"/>
              <w:rPr>
                <w:rFonts w:hint="default"/>
                <w:sz w:val="21"/>
                <w:szCs w:val="21"/>
              </w:rPr>
            </w:pPr>
            <w:r>
              <w:rPr>
                <w:sz w:val="21"/>
                <w:szCs w:val="21"/>
                <w:lang w:eastAsia="zh-CN"/>
              </w:rPr>
              <w:t>（6）</w:t>
            </w:r>
            <w:r>
              <w:rPr>
                <w:sz w:val="21"/>
                <w:szCs w:val="21"/>
              </w:rPr>
              <w:t>合同设备</w:t>
            </w:r>
            <w:r>
              <w:rPr>
                <w:sz w:val="21"/>
                <w:szCs w:val="21"/>
                <w:lang w:eastAsia="zh-CN"/>
              </w:rPr>
              <w:t>保修</w:t>
            </w:r>
            <w:r>
              <w:rPr>
                <w:sz w:val="21"/>
                <w:szCs w:val="21"/>
              </w:rPr>
              <w:t>期内维保所需含整机及所有零配件和第三方产品的所有费用包含在</w:t>
            </w:r>
            <w:r>
              <w:rPr>
                <w:sz w:val="21"/>
                <w:szCs w:val="21"/>
                <w:lang w:eastAsia="zh-CN"/>
              </w:rPr>
              <w:t>投标</w:t>
            </w:r>
            <w:r>
              <w:rPr>
                <w:sz w:val="21"/>
                <w:szCs w:val="21"/>
              </w:rPr>
              <w:t>总价内，</w:t>
            </w:r>
            <w:r>
              <w:rPr>
                <w:sz w:val="21"/>
                <w:szCs w:val="21"/>
                <w:lang w:eastAsia="zh-CN"/>
              </w:rPr>
              <w:t>供应商</w:t>
            </w:r>
            <w:r>
              <w:rPr>
                <w:sz w:val="21"/>
                <w:szCs w:val="21"/>
              </w:rPr>
              <w:t>维修设备时所更换的备件应是原设备生产厂家认证合格的全新零配件，设备终身维修保养，</w:t>
            </w:r>
            <w:r>
              <w:rPr>
                <w:sz w:val="21"/>
                <w:szCs w:val="21"/>
                <w:lang w:eastAsia="zh-CN"/>
              </w:rPr>
              <w:t>供应商</w:t>
            </w:r>
            <w:r>
              <w:rPr>
                <w:sz w:val="21"/>
                <w:szCs w:val="21"/>
              </w:rPr>
              <w:t>提供设备的系统软件及硬件的安全性改版升级和技术支持相关费用也已包含在合同总价内，并保证所有系统软件（非功能软件）为最新版本。</w:t>
            </w:r>
          </w:p>
          <w:p w14:paraId="34D16235">
            <w:pPr>
              <w:pStyle w:val="59"/>
              <w:jc w:val="both"/>
              <w:rPr>
                <w:rFonts w:hint="default"/>
                <w:sz w:val="21"/>
                <w:szCs w:val="21"/>
              </w:rPr>
            </w:pPr>
            <w:r>
              <w:rPr>
                <w:sz w:val="21"/>
                <w:szCs w:val="21"/>
                <w:lang w:eastAsia="zh-CN"/>
              </w:rPr>
              <w:t>（7）</w:t>
            </w:r>
            <w:r>
              <w:rPr>
                <w:sz w:val="21"/>
                <w:szCs w:val="21"/>
              </w:rPr>
              <w:t>服务响应：开通服务热线电话，保证全天7×24小时有工程师接听；保证节假日、非工作时间的人工服务响应；报修后，1小时内电话响应，4小时内到达现场，8小时内恢复正常运行；如设备故障严重，无法及时修复，</w:t>
            </w:r>
            <w:r>
              <w:rPr>
                <w:sz w:val="21"/>
                <w:szCs w:val="21"/>
                <w:lang w:eastAsia="zh-CN"/>
              </w:rPr>
              <w:t>供应商</w:t>
            </w:r>
            <w:r>
              <w:rPr>
                <w:sz w:val="21"/>
                <w:szCs w:val="21"/>
              </w:rPr>
              <w:t>有义务提供解决方案，并保证在3天（72小时）内使设备恢复正常运行。若报修后3天（72小时）内不能使设备恢复正常运行的，则</w:t>
            </w:r>
            <w:r>
              <w:rPr>
                <w:sz w:val="21"/>
                <w:szCs w:val="21"/>
                <w:lang w:eastAsia="zh-CN"/>
              </w:rPr>
              <w:t>供应商</w:t>
            </w:r>
            <w:r>
              <w:rPr>
                <w:sz w:val="21"/>
                <w:szCs w:val="21"/>
              </w:rPr>
              <w:t>必须提供相同配置规格的备用设备，否则自报修后第4天起，每延迟1天保修期顺延5天。</w:t>
            </w:r>
          </w:p>
          <w:p w14:paraId="5FB16863">
            <w:pPr>
              <w:pStyle w:val="59"/>
              <w:jc w:val="both"/>
              <w:rPr>
                <w:rFonts w:hint="default"/>
                <w:sz w:val="21"/>
                <w:szCs w:val="21"/>
                <w:lang w:eastAsia="zh-CN"/>
              </w:rPr>
            </w:pPr>
            <w:r>
              <w:rPr>
                <w:sz w:val="21"/>
                <w:szCs w:val="21"/>
                <w:lang w:eastAsia="zh-CN"/>
              </w:rPr>
              <w:t>（8）</w:t>
            </w:r>
            <w:r>
              <w:rPr>
                <w:sz w:val="21"/>
                <w:szCs w:val="21"/>
              </w:rPr>
              <w:t>备件供应：必须是原厂提供的全新备件且来源合法；在中国境内设有备件库，保证常用备件在24小时内的及时供应；提供中国境内核心备件库目</w:t>
            </w:r>
            <w:r>
              <w:rPr>
                <w:sz w:val="21"/>
                <w:szCs w:val="21"/>
                <w:lang w:eastAsia="zh-CN"/>
              </w:rPr>
              <w:t>录，按季度更新盖章给采购人备查；设备使用期限内必须保证备件的供应。</w:t>
            </w:r>
          </w:p>
          <w:p w14:paraId="33FE95B4">
            <w:pPr>
              <w:pStyle w:val="59"/>
              <w:jc w:val="both"/>
              <w:rPr>
                <w:rFonts w:hint="default"/>
                <w:sz w:val="21"/>
                <w:szCs w:val="21"/>
                <w:lang w:eastAsia="zh-CN"/>
              </w:rPr>
            </w:pPr>
            <w:r>
              <w:rPr>
                <w:sz w:val="21"/>
                <w:szCs w:val="21"/>
                <w:lang w:eastAsia="zh-CN"/>
              </w:rPr>
              <w:t>（9）下列情况供应商提供保修服务，费用不包含在本项目报价内：</w:t>
            </w:r>
          </w:p>
          <w:p w14:paraId="48C1D7E8">
            <w:pPr>
              <w:pStyle w:val="59"/>
              <w:jc w:val="both"/>
              <w:rPr>
                <w:rFonts w:hint="default"/>
                <w:sz w:val="21"/>
                <w:szCs w:val="21"/>
                <w:lang w:eastAsia="zh-CN"/>
              </w:rPr>
            </w:pPr>
            <w:r>
              <w:rPr>
                <w:sz w:val="21"/>
                <w:szCs w:val="21"/>
                <w:lang w:eastAsia="zh-CN"/>
              </w:rPr>
              <w:t>1、不按照供应商提供的正确使用方法而引致设备故障损坏；</w:t>
            </w:r>
          </w:p>
          <w:p w14:paraId="4F84BDFD">
            <w:pPr>
              <w:pStyle w:val="59"/>
              <w:jc w:val="both"/>
              <w:rPr>
                <w:rFonts w:hint="default"/>
                <w:sz w:val="21"/>
                <w:szCs w:val="21"/>
                <w:lang w:eastAsia="zh-CN"/>
              </w:rPr>
            </w:pPr>
            <w:r>
              <w:rPr>
                <w:sz w:val="21"/>
                <w:szCs w:val="21"/>
                <w:lang w:eastAsia="zh-CN"/>
              </w:rPr>
              <w:t>2、擅自改装设备而引致设备故障损坏；</w:t>
            </w:r>
          </w:p>
          <w:p w14:paraId="32798387">
            <w:pPr>
              <w:pStyle w:val="59"/>
              <w:jc w:val="both"/>
              <w:rPr>
                <w:rFonts w:hint="default"/>
                <w:sz w:val="21"/>
                <w:szCs w:val="21"/>
                <w:lang w:eastAsia="zh-CN"/>
              </w:rPr>
            </w:pPr>
            <w:r>
              <w:rPr>
                <w:sz w:val="21"/>
                <w:szCs w:val="21"/>
                <w:lang w:eastAsia="zh-CN"/>
              </w:rPr>
              <w:t>3、各种人为因素或天灾等外来因素造成的损坏。</w:t>
            </w:r>
          </w:p>
          <w:p w14:paraId="7AB7AC1B">
            <w:pPr>
              <w:pStyle w:val="59"/>
              <w:jc w:val="both"/>
              <w:rPr>
                <w:rFonts w:hint="default"/>
                <w:sz w:val="21"/>
                <w:szCs w:val="21"/>
                <w:lang w:eastAsia="zh-CN"/>
              </w:rPr>
            </w:pPr>
            <w:r>
              <w:rPr>
                <w:sz w:val="21"/>
                <w:szCs w:val="21"/>
                <w:lang w:eastAsia="zh-CN"/>
              </w:rPr>
              <w:t>（10）因设备的质量问题而发生争议，由省级或国家级质量监督管理部门进行质量鉴定，也可以双方共同委托其他有关部门鉴定。设备符合质量标准的，鉴定费用由采购人承担；设备不符合质量标准的，鉴定费用由供应商承担。</w:t>
            </w:r>
          </w:p>
          <w:p w14:paraId="73526E62">
            <w:pPr>
              <w:pStyle w:val="59"/>
              <w:jc w:val="both"/>
              <w:rPr>
                <w:rFonts w:hint="default"/>
                <w:sz w:val="21"/>
                <w:szCs w:val="21"/>
                <w:lang w:eastAsia="zh-CN"/>
              </w:rPr>
            </w:pPr>
            <w:r>
              <w:rPr>
                <w:sz w:val="21"/>
                <w:szCs w:val="21"/>
                <w:lang w:eastAsia="zh-CN"/>
              </w:rPr>
              <w:t>（11）供应商负责对设备使用相关人员的培训和考核：</w:t>
            </w:r>
          </w:p>
          <w:p w14:paraId="3C619911">
            <w:pPr>
              <w:pStyle w:val="59"/>
              <w:jc w:val="both"/>
              <w:rPr>
                <w:rFonts w:hint="default"/>
                <w:sz w:val="21"/>
                <w:szCs w:val="21"/>
                <w:lang w:eastAsia="zh-CN"/>
              </w:rPr>
            </w:pPr>
            <w:r>
              <w:rPr>
                <w:sz w:val="21"/>
                <w:szCs w:val="21"/>
                <w:lang w:eastAsia="zh-CN"/>
              </w:rPr>
              <w:t>1、供应商负责对采购人使用人员进行培训，保证操作者熟悉操作仪器的全部功能。</w:t>
            </w:r>
          </w:p>
          <w:p w14:paraId="0739F792">
            <w:pPr>
              <w:pStyle w:val="59"/>
              <w:jc w:val="both"/>
              <w:rPr>
                <w:rFonts w:hint="default"/>
                <w:sz w:val="21"/>
                <w:szCs w:val="21"/>
                <w:lang w:eastAsia="zh-CN"/>
              </w:rPr>
            </w:pPr>
            <w:r>
              <w:rPr>
                <w:sz w:val="21"/>
                <w:szCs w:val="21"/>
                <w:lang w:eastAsia="zh-CN"/>
              </w:rPr>
              <w:t>2、供应商负责对采购人工程技术人员进行培训，主要内容为设备的基本原理和结构、主要部件的构造及修理，定期维护和预防性维修方法，电路重要参数设置和参考值，性能参数检测方法，常见故障的排除，紧急情况的处理等。提供培训资料，包括全套元件级线路图、维修软件和密码等。培训地点在设备安装现场，复杂设备安排在厂家培训基地或按采购人要求安排，期间所产生的费用已包含在投标总价中。</w:t>
            </w:r>
          </w:p>
          <w:p w14:paraId="55DB6013">
            <w:pPr>
              <w:pStyle w:val="59"/>
              <w:jc w:val="both"/>
              <w:rPr>
                <w:rFonts w:hint="default"/>
                <w:sz w:val="21"/>
                <w:szCs w:val="21"/>
                <w:lang w:eastAsia="zh-CN"/>
              </w:rPr>
            </w:pPr>
            <w:r>
              <w:rPr>
                <w:sz w:val="21"/>
                <w:szCs w:val="21"/>
                <w:lang w:eastAsia="zh-CN"/>
              </w:rPr>
              <w:t>（12）保修期后的服务：要求保修期满后，提供终身维护服务，只按厂价收取所换的材料费，不收取任何维护费用。供应商须无条件回答采购人咨询，如实提供配件报价。</w:t>
            </w:r>
          </w:p>
          <w:p w14:paraId="5C01900B">
            <w:pPr>
              <w:pStyle w:val="59"/>
              <w:jc w:val="both"/>
              <w:rPr>
                <w:rFonts w:hint="default"/>
                <w:sz w:val="21"/>
                <w:szCs w:val="21"/>
                <w:lang w:eastAsia="zh-CN"/>
              </w:rPr>
            </w:pPr>
          </w:p>
        </w:tc>
      </w:tr>
    </w:tbl>
    <w:p w14:paraId="6C4225FD">
      <w:pPr>
        <w:pStyle w:val="10"/>
        <w:numPr>
          <w:ilvl w:val="0"/>
          <w:numId w:val="0"/>
        </w:numPr>
        <w:rPr>
          <w:rFonts w:hint="eastAsia" w:ascii="宋体" w:hAnsi="宋体" w:cs="宋体"/>
          <w:bCs/>
          <w:kern w:val="0"/>
          <w:sz w:val="24"/>
        </w:rPr>
      </w:pPr>
      <w:r>
        <w:rPr>
          <w:rFonts w:hint="eastAsia" w:ascii="宋体" w:hAnsi="宋体" w:cs="宋体"/>
          <w:bCs/>
          <w:kern w:val="0"/>
          <w:sz w:val="24"/>
        </w:rPr>
        <w:br w:type="page"/>
      </w:r>
    </w:p>
    <w:p w14:paraId="40B84203">
      <w:pPr>
        <w:numPr>
          <w:ilvl w:val="0"/>
          <w:numId w:val="4"/>
        </w:numPr>
        <w:tabs>
          <w:tab w:val="left" w:pos="3765"/>
        </w:tabs>
        <w:adjustRightInd w:val="0"/>
        <w:snapToGrid w:val="0"/>
        <w:spacing w:line="560" w:lineRule="exact"/>
        <w:jc w:val="center"/>
        <w:outlineLvl w:val="0"/>
        <w:rPr>
          <w:rFonts w:hint="eastAsia" w:ascii="方正小标宋简体" w:hAnsi="方正小标宋简体" w:eastAsia="方正小标宋简体" w:cs="方正小标宋简体"/>
          <w:sz w:val="32"/>
          <w:szCs w:val="32"/>
        </w:rPr>
      </w:pPr>
      <w:bookmarkStart w:id="13" w:name="_Toc5861"/>
      <w:bookmarkStart w:id="14" w:name="_Toc237415640"/>
      <w:r>
        <w:rPr>
          <w:rFonts w:hint="eastAsia" w:ascii="方正小标宋简体" w:hAnsi="方正小标宋简体" w:eastAsia="方正小标宋简体" w:cs="方正小标宋简体"/>
          <w:sz w:val="32"/>
          <w:szCs w:val="32"/>
        </w:rPr>
        <w:t>参选须知</w:t>
      </w:r>
      <w:bookmarkEnd w:id="7"/>
      <w:bookmarkEnd w:id="8"/>
      <w:bookmarkEnd w:id="13"/>
      <w:bookmarkEnd w:id="14"/>
    </w:p>
    <w:p w14:paraId="77C94487">
      <w:pPr>
        <w:pStyle w:val="3"/>
        <w:spacing w:line="560" w:lineRule="exact"/>
        <w:rPr>
          <w:rFonts w:hint="eastAsia" w:ascii="黑体" w:hAnsi="黑体" w:eastAsia="黑体" w:cs="黑体"/>
          <w:bCs/>
          <w:sz w:val="28"/>
          <w:szCs w:val="28"/>
        </w:rPr>
      </w:pPr>
    </w:p>
    <w:p w14:paraId="7F56EE45">
      <w:pPr>
        <w:pStyle w:val="3"/>
        <w:spacing w:line="560" w:lineRule="exact"/>
      </w:pPr>
      <w:bookmarkStart w:id="15" w:name="_Toc237415641"/>
      <w:bookmarkStart w:id="16" w:name="_Toc15689"/>
      <w:r>
        <w:rPr>
          <w:rFonts w:hint="eastAsia" w:ascii="黑体" w:hAnsi="黑体" w:eastAsia="黑体" w:cs="黑体"/>
          <w:bCs/>
          <w:sz w:val="28"/>
          <w:szCs w:val="28"/>
        </w:rPr>
        <w:t>A 说明</w:t>
      </w:r>
      <w:bookmarkEnd w:id="15"/>
      <w:bookmarkEnd w:id="16"/>
    </w:p>
    <w:p w14:paraId="44FFB764">
      <w:pPr>
        <w:pStyle w:val="4"/>
        <w:adjustRightInd w:val="0"/>
        <w:snapToGrid w:val="0"/>
        <w:spacing w:line="560" w:lineRule="exact"/>
        <w:rPr>
          <w:rFonts w:ascii="仿宋_GB2312" w:hAnsi="仿宋_GB2312" w:eastAsia="仿宋_GB2312" w:cs="仿宋_GB2312"/>
          <w:b/>
          <w:bCs/>
          <w:sz w:val="24"/>
        </w:rPr>
      </w:pPr>
      <w:bookmarkStart w:id="17" w:name="_Toc237415642"/>
      <w:bookmarkStart w:id="18" w:name="_Toc12597"/>
      <w:r>
        <w:rPr>
          <w:rFonts w:hint="eastAsia" w:ascii="仿宋_GB2312" w:hAnsi="仿宋_GB2312" w:eastAsia="仿宋_GB2312" w:cs="仿宋_GB2312"/>
          <w:b/>
          <w:bCs/>
          <w:sz w:val="24"/>
        </w:rPr>
        <w:t>1. 适用范围</w:t>
      </w:r>
      <w:bookmarkEnd w:id="17"/>
      <w:bookmarkEnd w:id="18"/>
    </w:p>
    <w:p w14:paraId="212B4794">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1.1本竞磋文件仅适用于本次竞磋公告所述项目的内容和服务。  </w:t>
      </w:r>
    </w:p>
    <w:p w14:paraId="1465C0DA">
      <w:pPr>
        <w:pStyle w:val="4"/>
        <w:adjustRightInd w:val="0"/>
        <w:snapToGrid w:val="0"/>
        <w:spacing w:line="560" w:lineRule="exact"/>
        <w:rPr>
          <w:rFonts w:ascii="仿宋_GB2312" w:hAnsi="仿宋_GB2312" w:eastAsia="仿宋_GB2312" w:cs="仿宋_GB2312"/>
          <w:b/>
          <w:bCs/>
          <w:sz w:val="24"/>
        </w:rPr>
      </w:pPr>
      <w:bookmarkStart w:id="19" w:name="_Toc237415643"/>
      <w:bookmarkStart w:id="20" w:name="_Toc2712"/>
      <w:r>
        <w:rPr>
          <w:rFonts w:hint="eastAsia" w:ascii="仿宋_GB2312" w:hAnsi="仿宋_GB2312" w:eastAsia="仿宋_GB2312" w:cs="仿宋_GB2312"/>
          <w:b/>
          <w:bCs/>
          <w:sz w:val="24"/>
        </w:rPr>
        <w:t>2. 定义</w:t>
      </w:r>
      <w:bookmarkEnd w:id="19"/>
      <w:bookmarkEnd w:id="20"/>
    </w:p>
    <w:p w14:paraId="1EA414A2">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2.1“采购人”系指组织本次竞磋的南方医科大学中西医结合医院。</w:t>
      </w:r>
    </w:p>
    <w:p w14:paraId="17B84F7D">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2.2“供应商”系指向采购人提交参选文件的法人或者其他组织。</w:t>
      </w:r>
    </w:p>
    <w:p w14:paraId="14CE3093">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2.3“需方”系指采购人，也称“买方”，本竞磋文件指南方医科大学中西医结合医院。</w:t>
      </w:r>
    </w:p>
    <w:p w14:paraId="452A39CA">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2.4“中选人”或“供应商”系指本次参选经评委会评定、采购人确定并公布的法人或者其他组织。</w:t>
      </w:r>
    </w:p>
    <w:p w14:paraId="7FF7D1AC">
      <w:pPr>
        <w:pStyle w:val="4"/>
        <w:adjustRightInd w:val="0"/>
        <w:snapToGrid w:val="0"/>
        <w:spacing w:line="560" w:lineRule="exact"/>
        <w:rPr>
          <w:rFonts w:ascii="仿宋_GB2312" w:hAnsi="仿宋_GB2312" w:eastAsia="仿宋_GB2312" w:cs="仿宋_GB2312"/>
          <w:b/>
          <w:bCs/>
          <w:sz w:val="24"/>
        </w:rPr>
      </w:pPr>
      <w:bookmarkStart w:id="21" w:name="_Toc237415644"/>
      <w:bookmarkStart w:id="22" w:name="_Toc24486"/>
      <w:r>
        <w:rPr>
          <w:rFonts w:hint="eastAsia" w:ascii="仿宋_GB2312" w:hAnsi="仿宋_GB2312" w:eastAsia="仿宋_GB2312" w:cs="仿宋_GB2312"/>
          <w:b/>
          <w:bCs/>
          <w:sz w:val="24"/>
        </w:rPr>
        <w:t>3．合格的</w:t>
      </w:r>
      <w:bookmarkEnd w:id="21"/>
      <w:r>
        <w:rPr>
          <w:rFonts w:hint="eastAsia" w:ascii="仿宋_GB2312" w:hAnsi="仿宋_GB2312" w:eastAsia="仿宋_GB2312" w:cs="仿宋_GB2312"/>
          <w:b/>
          <w:bCs/>
          <w:sz w:val="24"/>
        </w:rPr>
        <w:t>供应商</w:t>
      </w:r>
      <w:bookmarkEnd w:id="22"/>
    </w:p>
    <w:p w14:paraId="6133A4C6">
      <w:pPr>
        <w:adjustRightInd w:val="0"/>
        <w:snapToGrid w:val="0"/>
        <w:spacing w:line="560" w:lineRule="exact"/>
        <w:ind w:firstLine="484" w:firstLineChars="202"/>
        <w:rPr>
          <w:rFonts w:ascii="仿宋_GB2312" w:hAnsi="仿宋_GB2312" w:eastAsia="仿宋_GB2312" w:cs="仿宋_GB2312"/>
          <w:sz w:val="24"/>
        </w:rPr>
      </w:pPr>
      <w:r>
        <w:rPr>
          <w:rFonts w:hint="eastAsia" w:ascii="仿宋_GB2312" w:hAnsi="仿宋_GB2312" w:eastAsia="仿宋_GB2312" w:cs="仿宋_GB2312"/>
          <w:sz w:val="24"/>
        </w:rPr>
        <w:t>同时满足本竞磋文件第一部分《竞磋公告》中对供应商的资质要求并提交了的有效参选文件为合格的供应商。否则为不合格，其参选将被拒绝。</w:t>
      </w:r>
    </w:p>
    <w:p w14:paraId="15453259">
      <w:pPr>
        <w:pStyle w:val="4"/>
        <w:adjustRightInd w:val="0"/>
        <w:snapToGrid w:val="0"/>
        <w:spacing w:line="560" w:lineRule="exact"/>
        <w:rPr>
          <w:rFonts w:ascii="仿宋_GB2312" w:hAnsi="仿宋_GB2312" w:eastAsia="仿宋_GB2312" w:cs="仿宋_GB2312"/>
          <w:b/>
          <w:bCs/>
          <w:sz w:val="24"/>
        </w:rPr>
      </w:pPr>
      <w:bookmarkStart w:id="23" w:name="_Toc31433"/>
      <w:bookmarkStart w:id="24" w:name="_Toc237415645"/>
      <w:r>
        <w:rPr>
          <w:rFonts w:hint="eastAsia" w:ascii="仿宋_GB2312" w:hAnsi="仿宋_GB2312" w:eastAsia="仿宋_GB2312" w:cs="仿宋_GB2312"/>
          <w:b/>
          <w:bCs/>
          <w:sz w:val="24"/>
        </w:rPr>
        <w:t>4．参选费用</w:t>
      </w:r>
      <w:bookmarkEnd w:id="23"/>
      <w:bookmarkEnd w:id="24"/>
    </w:p>
    <w:p w14:paraId="1AA941D2">
      <w:pPr>
        <w:adjustRightInd w:val="0"/>
        <w:snapToGrid w:val="0"/>
        <w:spacing w:line="560" w:lineRule="exact"/>
        <w:ind w:firstLine="484" w:firstLineChars="202"/>
        <w:rPr>
          <w:rFonts w:ascii="仿宋_GB2312" w:hAnsi="仿宋_GB2312" w:eastAsia="仿宋_GB2312" w:cs="仿宋_GB2312"/>
          <w:sz w:val="24"/>
        </w:rPr>
      </w:pPr>
      <w:r>
        <w:rPr>
          <w:rFonts w:hint="eastAsia" w:ascii="仿宋_GB2312" w:hAnsi="仿宋_GB2312" w:eastAsia="仿宋_GB2312" w:cs="仿宋_GB2312"/>
          <w:sz w:val="24"/>
        </w:rPr>
        <w:t>供应商应承担所有与准备和参加竞磋活动有关的费用。不论采购的结果如何，采购人均无义务和责任承担这些费用。</w:t>
      </w:r>
    </w:p>
    <w:p w14:paraId="6A4EE5AF">
      <w:pPr>
        <w:adjustRightInd w:val="0"/>
        <w:snapToGrid w:val="0"/>
        <w:spacing w:line="560" w:lineRule="exact"/>
        <w:ind w:firstLine="606"/>
        <w:jc w:val="center"/>
        <w:rPr>
          <w:rFonts w:ascii="Arial Unicode MS" w:hAnsi="Arial Unicode MS" w:cs="宋体"/>
          <w:sz w:val="24"/>
        </w:rPr>
      </w:pPr>
    </w:p>
    <w:p w14:paraId="6FCE66F4">
      <w:pPr>
        <w:pStyle w:val="3"/>
        <w:spacing w:line="560" w:lineRule="exact"/>
        <w:rPr>
          <w:rFonts w:hint="eastAsia" w:ascii="黑体" w:hAnsi="黑体" w:eastAsia="黑体" w:cs="黑体"/>
          <w:bCs/>
          <w:sz w:val="28"/>
          <w:szCs w:val="28"/>
        </w:rPr>
      </w:pPr>
      <w:r>
        <w:rPr>
          <w:rFonts w:hint="eastAsia" w:ascii="黑体" w:hAnsi="黑体" w:eastAsia="黑体" w:cs="黑体"/>
          <w:bCs/>
          <w:sz w:val="28"/>
          <w:szCs w:val="28"/>
        </w:rPr>
        <w:tab/>
      </w:r>
      <w:bookmarkStart w:id="25" w:name="_Toc237415646"/>
      <w:bookmarkStart w:id="26" w:name="_Toc24749"/>
      <w:r>
        <w:rPr>
          <w:rFonts w:hint="eastAsia" w:ascii="黑体" w:hAnsi="黑体" w:eastAsia="黑体" w:cs="黑体"/>
          <w:bCs/>
          <w:sz w:val="28"/>
          <w:szCs w:val="28"/>
        </w:rPr>
        <w:t>B 竞磋文件</w:t>
      </w:r>
      <w:bookmarkEnd w:id="25"/>
      <w:bookmarkEnd w:id="26"/>
      <w:r>
        <w:rPr>
          <w:rFonts w:hint="eastAsia" w:ascii="黑体" w:hAnsi="黑体" w:eastAsia="黑体" w:cs="黑体"/>
          <w:bCs/>
          <w:sz w:val="28"/>
          <w:szCs w:val="28"/>
        </w:rPr>
        <w:tab/>
      </w:r>
    </w:p>
    <w:p w14:paraId="5C508C8F">
      <w:pPr>
        <w:pStyle w:val="4"/>
        <w:adjustRightInd w:val="0"/>
        <w:snapToGrid w:val="0"/>
        <w:spacing w:line="560" w:lineRule="exact"/>
        <w:rPr>
          <w:rFonts w:ascii="仿宋_GB2312" w:hAnsi="仿宋_GB2312" w:eastAsia="仿宋_GB2312" w:cs="仿宋_GB2312"/>
          <w:b/>
          <w:bCs/>
          <w:sz w:val="24"/>
        </w:rPr>
      </w:pPr>
      <w:bookmarkStart w:id="27" w:name="_Toc237415647"/>
      <w:bookmarkStart w:id="28" w:name="_Toc13963"/>
      <w:r>
        <w:rPr>
          <w:rFonts w:hint="eastAsia" w:ascii="仿宋_GB2312" w:hAnsi="仿宋_GB2312" w:eastAsia="仿宋_GB2312" w:cs="仿宋_GB2312"/>
          <w:b/>
          <w:bCs/>
          <w:sz w:val="24"/>
        </w:rPr>
        <w:t>5.竞磋文件构成</w:t>
      </w:r>
      <w:bookmarkEnd w:id="27"/>
      <w:bookmarkEnd w:id="28"/>
    </w:p>
    <w:p w14:paraId="192D35C6">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5.1竞磋文件用以阐明竞磋项目所需服务要求以及竞磋程序和合同条款等内容。竞磋文件由下述部分组成：</w:t>
      </w:r>
    </w:p>
    <w:p w14:paraId="7674AF03">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（1）竞磋公告；</w:t>
      </w:r>
    </w:p>
    <w:p w14:paraId="756B0E3B">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（2）项目内容和要求；</w:t>
      </w:r>
    </w:p>
    <w:p w14:paraId="270DEF49">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（3）参选须知；</w:t>
      </w:r>
    </w:p>
    <w:p w14:paraId="5CA1951D">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（4）合同条款；</w:t>
      </w:r>
    </w:p>
    <w:p w14:paraId="3DE27252">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（5）参选文件格式；</w:t>
      </w:r>
    </w:p>
    <w:p w14:paraId="33488623">
      <w:pPr>
        <w:adjustRightInd w:val="0"/>
        <w:snapToGrid w:val="0"/>
        <w:spacing w:line="560" w:lineRule="exact"/>
        <w:ind w:firstLine="440"/>
        <w:rPr>
          <w:rFonts w:ascii="仿宋_GB2312" w:hAnsi="仿宋_GB2312" w:eastAsia="仿宋_GB2312" w:cs="仿宋_GB2312"/>
          <w:sz w:val="24"/>
        </w:rPr>
      </w:pPr>
      <w:r>
        <w:rPr>
          <w:rFonts w:hint="eastAsia" w:ascii="仿宋_GB2312" w:hAnsi="仿宋_GB2312" w:eastAsia="仿宋_GB2312" w:cs="仿宋_GB2312"/>
          <w:sz w:val="24"/>
        </w:rPr>
        <w:t>5.2供应商应认真阅读竞磋文件中所有的事项、格式、条款等。供应商没有按照竞磋文件要求提交全部资料，或者没有对竞磋文件在各方面都作出实质性响应是供应商的风险，并可能导致其参选文件被拒绝。</w:t>
      </w:r>
    </w:p>
    <w:p w14:paraId="004EB819">
      <w:pPr>
        <w:pStyle w:val="4"/>
        <w:adjustRightInd w:val="0"/>
        <w:snapToGrid w:val="0"/>
        <w:spacing w:line="560" w:lineRule="exact"/>
        <w:rPr>
          <w:rFonts w:ascii="仿宋_GB2312" w:hAnsi="仿宋_GB2312" w:eastAsia="仿宋_GB2312" w:cs="仿宋_GB2312"/>
          <w:b/>
          <w:bCs/>
          <w:sz w:val="24"/>
        </w:rPr>
      </w:pPr>
      <w:bookmarkStart w:id="29" w:name="_Toc22019"/>
      <w:bookmarkStart w:id="30" w:name="_Toc237415648"/>
      <w:r>
        <w:rPr>
          <w:rFonts w:hint="eastAsia" w:ascii="仿宋_GB2312" w:hAnsi="仿宋_GB2312" w:eastAsia="仿宋_GB2312" w:cs="仿宋_GB2312"/>
          <w:b/>
          <w:bCs/>
          <w:sz w:val="24"/>
        </w:rPr>
        <w:t>6．竞磋文件的澄清与修改</w:t>
      </w:r>
      <w:bookmarkEnd w:id="29"/>
      <w:bookmarkEnd w:id="30"/>
    </w:p>
    <w:p w14:paraId="66F94037">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6.1无论出于何种原因，采购人可以对已发出的竞磋文件进行必要的澄清或者修改。澄清或者修改的内容可能影响参选文件编制的，采购人将在报名截止时间至少3日前，以书面形式通知所有获取竞磋文件的供应商；不足3日的，采购人将顺延提交参选文件的截止时间。潜在供应商在收到上述通知后，应在24小时内以书面形式向采购人确认，若供应商未在24小时内书面回复确认将视为同意修改内容，并有责任履行相应的义务。</w:t>
      </w:r>
    </w:p>
    <w:p w14:paraId="03217379">
      <w:pPr>
        <w:adjustRightInd w:val="0"/>
        <w:snapToGrid w:val="0"/>
        <w:spacing w:line="560" w:lineRule="exact"/>
        <w:ind w:firstLine="480" w:firstLineChars="200"/>
        <w:rPr>
          <w:rFonts w:ascii="仿宋_GB2312" w:hAnsi="仿宋_GB2312" w:eastAsia="仿宋_GB2312" w:cs="仿宋_GB2312"/>
          <w:sz w:val="24"/>
        </w:rPr>
      </w:pPr>
      <w:bookmarkStart w:id="31" w:name="_Ref179619147"/>
      <w:r>
        <w:rPr>
          <w:rFonts w:hint="eastAsia" w:ascii="仿宋_GB2312" w:hAnsi="仿宋_GB2312" w:eastAsia="仿宋_GB2312" w:cs="仿宋_GB2312"/>
          <w:sz w:val="24"/>
        </w:rPr>
        <w:t>6.2澄清或者修改对所有供应商均具有约束力。</w:t>
      </w:r>
      <w:bookmarkEnd w:id="31"/>
    </w:p>
    <w:p w14:paraId="3557A3A0">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6.3竞磋文件如需修改，其修改书将构成竞磋文件的一部分，与竞磋文件具有同等的法律效力。</w:t>
      </w:r>
    </w:p>
    <w:p w14:paraId="7E2D1394">
      <w:pPr>
        <w:adjustRightInd w:val="0"/>
        <w:snapToGrid w:val="0"/>
        <w:spacing w:line="560" w:lineRule="exact"/>
        <w:ind w:firstLine="480" w:firstLineChars="200"/>
        <w:rPr>
          <w:rFonts w:ascii="Arial Unicode MS" w:hAnsi="Arial Unicode MS" w:cs="宋体"/>
          <w:sz w:val="24"/>
        </w:rPr>
      </w:pPr>
    </w:p>
    <w:p w14:paraId="22551F89">
      <w:pPr>
        <w:pStyle w:val="3"/>
        <w:spacing w:line="560" w:lineRule="exact"/>
        <w:rPr>
          <w:rFonts w:hint="eastAsia" w:ascii="黑体" w:hAnsi="黑体" w:eastAsia="黑体" w:cs="黑体"/>
          <w:bCs/>
          <w:sz w:val="28"/>
          <w:szCs w:val="28"/>
        </w:rPr>
      </w:pPr>
      <w:bookmarkStart w:id="32" w:name="_Toc11606"/>
      <w:bookmarkStart w:id="33" w:name="_Toc237415649"/>
      <w:r>
        <w:rPr>
          <w:rFonts w:hint="eastAsia" w:ascii="黑体" w:hAnsi="黑体" w:eastAsia="黑体" w:cs="黑体"/>
          <w:bCs/>
          <w:sz w:val="28"/>
          <w:szCs w:val="28"/>
        </w:rPr>
        <w:t>C 参选文件的编写</w:t>
      </w:r>
      <w:bookmarkEnd w:id="32"/>
      <w:bookmarkEnd w:id="33"/>
    </w:p>
    <w:p w14:paraId="36A78D88">
      <w:pPr>
        <w:pStyle w:val="4"/>
        <w:adjustRightInd w:val="0"/>
        <w:snapToGrid w:val="0"/>
        <w:spacing w:line="560" w:lineRule="exact"/>
        <w:rPr>
          <w:rFonts w:ascii="仿宋_GB2312" w:hAnsi="仿宋_GB2312" w:eastAsia="仿宋_GB2312" w:cs="仿宋_GB2312"/>
          <w:b/>
          <w:bCs/>
          <w:sz w:val="24"/>
        </w:rPr>
      </w:pPr>
      <w:bookmarkStart w:id="34" w:name="_Toc237415650"/>
      <w:bookmarkStart w:id="35" w:name="_Toc31579"/>
      <w:r>
        <w:rPr>
          <w:rFonts w:hint="eastAsia" w:ascii="仿宋_GB2312" w:hAnsi="仿宋_GB2312" w:eastAsia="仿宋_GB2312" w:cs="仿宋_GB2312"/>
          <w:b/>
          <w:bCs/>
          <w:sz w:val="24"/>
        </w:rPr>
        <w:t>7．参选文件的编写要求</w:t>
      </w:r>
      <w:bookmarkEnd w:id="34"/>
      <w:bookmarkEnd w:id="35"/>
    </w:p>
    <w:p w14:paraId="54ED6E2D">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7.1</w:t>
      </w:r>
      <w:bookmarkStart w:id="36" w:name="_Toc140"/>
      <w:bookmarkStart w:id="37" w:name="_Toc13132"/>
      <w:r>
        <w:rPr>
          <w:rFonts w:hint="eastAsia" w:ascii="仿宋_GB2312" w:hAnsi="仿宋_GB2312" w:eastAsia="仿宋_GB2312" w:cs="仿宋_GB2312"/>
          <w:sz w:val="24"/>
        </w:rPr>
        <w:t>语言</w:t>
      </w:r>
      <w:bookmarkEnd w:id="36"/>
      <w:bookmarkEnd w:id="37"/>
    </w:p>
    <w:p w14:paraId="33A89109">
      <w:pPr>
        <w:adjustRightInd w:val="0"/>
        <w:snapToGrid w:val="0"/>
        <w:spacing w:line="560" w:lineRule="exact"/>
        <w:ind w:firstLine="480" w:firstLineChars="200"/>
        <w:rPr>
          <w:rFonts w:ascii="仿宋_GB2312" w:hAnsi="仿宋_GB2312" w:eastAsia="仿宋_GB2312" w:cs="仿宋_GB2312"/>
          <w:sz w:val="24"/>
        </w:rPr>
      </w:pPr>
      <w:bookmarkStart w:id="38" w:name="_Ref179620571"/>
      <w:r>
        <w:rPr>
          <w:rFonts w:hint="eastAsia" w:ascii="仿宋_GB2312" w:hAnsi="仿宋_GB2312" w:eastAsia="仿宋_GB2312" w:cs="仿宋_GB2312"/>
          <w:sz w:val="24"/>
        </w:rPr>
        <w:t>供应商提交的参选文件以及供应商与采购人就有关报价的所有来往函电均应使用中文书写。供应商提交的支持资料和已印刷的文献可以用另一种语言，但相应内容应附有中文翻译本，在解释参选文件时以翻译本为准。</w:t>
      </w:r>
      <w:bookmarkEnd w:id="38"/>
    </w:p>
    <w:p w14:paraId="64D0D431">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7.2</w:t>
      </w:r>
      <w:bookmarkStart w:id="39" w:name="_Toc17640"/>
      <w:bookmarkStart w:id="40" w:name="_Toc10300"/>
      <w:r>
        <w:rPr>
          <w:rFonts w:hint="eastAsia" w:ascii="仿宋_GB2312" w:hAnsi="仿宋_GB2312" w:eastAsia="仿宋_GB2312" w:cs="仿宋_GB2312"/>
          <w:sz w:val="24"/>
        </w:rPr>
        <w:t xml:space="preserve"> 计量单位的使用</w:t>
      </w:r>
      <w:bookmarkEnd w:id="39"/>
      <w:bookmarkEnd w:id="40"/>
    </w:p>
    <w:p w14:paraId="3A695868">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参选文件中所使用的计量单位，除竞磋文件中有特殊要求外，应采用中华人民共和国法定计量单位。除非另有说明，本竞磋文件中所称“日”均指日历日，参选文件中需以日历日对竞磋文件作出响应。评审时，对参选文件中出现的“工作日”按五个工作日折合七个日历日计算，且评审小组可能会就有关日期作出对该供应商不利的折算或量化，供应商不得对此提出异议。</w:t>
      </w:r>
    </w:p>
    <w:p w14:paraId="76716A3D">
      <w:pPr>
        <w:pStyle w:val="4"/>
        <w:adjustRightInd w:val="0"/>
        <w:snapToGrid w:val="0"/>
        <w:spacing w:line="560" w:lineRule="exact"/>
        <w:rPr>
          <w:rFonts w:ascii="仿宋_GB2312" w:hAnsi="仿宋_GB2312" w:eastAsia="仿宋_GB2312" w:cs="仿宋_GB2312"/>
          <w:b/>
          <w:bCs/>
          <w:sz w:val="24"/>
        </w:rPr>
      </w:pPr>
      <w:bookmarkStart w:id="41" w:name="_Toc237415651"/>
      <w:bookmarkStart w:id="42" w:name="_Toc30148"/>
      <w:r>
        <w:rPr>
          <w:rFonts w:hint="eastAsia" w:ascii="仿宋_GB2312" w:hAnsi="仿宋_GB2312" w:eastAsia="仿宋_GB2312" w:cs="仿宋_GB2312"/>
          <w:b/>
          <w:bCs/>
          <w:sz w:val="24"/>
        </w:rPr>
        <w:t>8．参选文件的组成</w:t>
      </w:r>
      <w:bookmarkEnd w:id="41"/>
      <w:bookmarkEnd w:id="42"/>
    </w:p>
    <w:p w14:paraId="7805ABE7">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8.1供应商应完整地按竞磋文件提供的响应文件格式制作响应文件。参选文件应包括下列部分:</w:t>
      </w:r>
    </w:p>
    <w:p w14:paraId="0CA0C5F7">
      <w:pPr>
        <w:adjustRightInd w:val="0"/>
        <w:snapToGrid w:val="0"/>
        <w:spacing w:line="560" w:lineRule="exact"/>
        <w:ind w:firstLine="720" w:firstLineChars="300"/>
        <w:rPr>
          <w:rFonts w:ascii="仿宋_GB2312" w:hAnsi="仿宋_GB2312" w:eastAsia="仿宋_GB2312" w:cs="仿宋_GB2312"/>
          <w:sz w:val="24"/>
        </w:rPr>
      </w:pPr>
      <w:r>
        <w:rPr>
          <w:rFonts w:hint="eastAsia" w:ascii="仿宋_GB2312" w:hAnsi="仿宋_GB2312" w:eastAsia="仿宋_GB2312" w:cs="仿宋_GB2312"/>
          <w:sz w:val="24"/>
        </w:rPr>
        <w:t>第一部分 自查表</w:t>
      </w:r>
    </w:p>
    <w:p w14:paraId="0ED750C0">
      <w:pPr>
        <w:widowControl/>
        <w:numPr>
          <w:ilvl w:val="3"/>
          <w:numId w:val="9"/>
        </w:numPr>
        <w:adjustRightInd w:val="0"/>
        <w:snapToGrid w:val="0"/>
        <w:spacing w:line="560" w:lineRule="exact"/>
        <w:jc w:val="left"/>
        <w:rPr>
          <w:rFonts w:ascii="仿宋_GB2312" w:hAnsi="仿宋_GB2312" w:eastAsia="仿宋_GB2312" w:cs="仿宋_GB2312"/>
          <w:sz w:val="24"/>
        </w:rPr>
      </w:pPr>
      <w:r>
        <w:rPr>
          <w:rFonts w:hint="eastAsia" w:ascii="仿宋_GB2312" w:hAnsi="仿宋_GB2312" w:eastAsia="仿宋_GB2312" w:cs="仿宋_GB2312"/>
          <w:sz w:val="24"/>
        </w:rPr>
        <w:t>资格性审查自查表</w:t>
      </w:r>
    </w:p>
    <w:p w14:paraId="75419C2E">
      <w:pPr>
        <w:widowControl/>
        <w:numPr>
          <w:ilvl w:val="3"/>
          <w:numId w:val="9"/>
        </w:numPr>
        <w:adjustRightInd w:val="0"/>
        <w:snapToGrid w:val="0"/>
        <w:spacing w:line="560" w:lineRule="exact"/>
        <w:jc w:val="left"/>
        <w:rPr>
          <w:rFonts w:ascii="仿宋_GB2312" w:hAnsi="仿宋_GB2312" w:eastAsia="仿宋_GB2312" w:cs="仿宋_GB2312"/>
          <w:sz w:val="24"/>
        </w:rPr>
      </w:pPr>
      <w:r>
        <w:rPr>
          <w:rFonts w:hint="eastAsia" w:ascii="仿宋_GB2312" w:hAnsi="仿宋_GB2312" w:eastAsia="仿宋_GB2312" w:cs="仿宋_GB2312"/>
          <w:sz w:val="24"/>
        </w:rPr>
        <w:t>符合性审查自查表</w:t>
      </w:r>
    </w:p>
    <w:p w14:paraId="71118705">
      <w:pPr>
        <w:widowControl/>
        <w:numPr>
          <w:ilvl w:val="3"/>
          <w:numId w:val="9"/>
        </w:numPr>
        <w:adjustRightInd w:val="0"/>
        <w:snapToGrid w:val="0"/>
        <w:spacing w:line="560" w:lineRule="exact"/>
        <w:jc w:val="left"/>
        <w:rPr>
          <w:rFonts w:ascii="仿宋_GB2312" w:hAnsi="仿宋_GB2312" w:eastAsia="仿宋_GB2312" w:cs="仿宋_GB2312"/>
          <w:sz w:val="24"/>
        </w:rPr>
      </w:pPr>
      <w:r>
        <w:rPr>
          <w:rFonts w:hint="eastAsia" w:ascii="仿宋_GB2312" w:hAnsi="仿宋_GB2312" w:eastAsia="仿宋_GB2312" w:cs="仿宋_GB2312"/>
          <w:sz w:val="24"/>
        </w:rPr>
        <w:t>综合评比指标佐证材料自查表</w:t>
      </w:r>
    </w:p>
    <w:p w14:paraId="4875C3D3">
      <w:pPr>
        <w:widowControl/>
        <w:adjustRightInd w:val="0"/>
        <w:snapToGrid w:val="0"/>
        <w:spacing w:line="560" w:lineRule="exact"/>
        <w:ind w:firstLine="720" w:firstLineChars="300"/>
        <w:jc w:val="left"/>
        <w:rPr>
          <w:rFonts w:ascii="仿宋_GB2312" w:hAnsi="仿宋_GB2312" w:eastAsia="仿宋_GB2312" w:cs="仿宋_GB2312"/>
          <w:sz w:val="24"/>
        </w:rPr>
      </w:pPr>
      <w:r>
        <w:rPr>
          <w:rFonts w:hint="eastAsia" w:ascii="仿宋_GB2312" w:hAnsi="仿宋_GB2312" w:eastAsia="仿宋_GB2312" w:cs="仿宋_GB2312"/>
          <w:sz w:val="24"/>
        </w:rPr>
        <w:t>第二部分 资格性及符合性文件</w:t>
      </w:r>
    </w:p>
    <w:p w14:paraId="68E65CFA">
      <w:pPr>
        <w:widowControl/>
        <w:numPr>
          <w:ilvl w:val="3"/>
          <w:numId w:val="10"/>
        </w:numPr>
        <w:adjustRightInd w:val="0"/>
        <w:snapToGrid w:val="0"/>
        <w:spacing w:line="560" w:lineRule="exact"/>
        <w:jc w:val="left"/>
        <w:rPr>
          <w:rFonts w:ascii="仿宋_GB2312" w:hAnsi="仿宋_GB2312" w:eastAsia="仿宋_GB2312" w:cs="仿宋_GB2312"/>
          <w:sz w:val="24"/>
        </w:rPr>
      </w:pPr>
      <w:r>
        <w:rPr>
          <w:rFonts w:hint="eastAsia" w:ascii="仿宋_GB2312" w:hAnsi="仿宋_GB2312" w:eastAsia="仿宋_GB2312" w:cs="仿宋_GB2312"/>
          <w:sz w:val="24"/>
        </w:rPr>
        <w:t>说明函</w:t>
      </w:r>
    </w:p>
    <w:p w14:paraId="6889CF2A">
      <w:pPr>
        <w:widowControl/>
        <w:numPr>
          <w:ilvl w:val="3"/>
          <w:numId w:val="10"/>
        </w:numPr>
        <w:adjustRightInd w:val="0"/>
        <w:snapToGrid w:val="0"/>
        <w:spacing w:line="560" w:lineRule="exact"/>
        <w:jc w:val="left"/>
        <w:rPr>
          <w:rFonts w:ascii="仿宋_GB2312" w:hAnsi="仿宋_GB2312" w:eastAsia="仿宋_GB2312" w:cs="仿宋_GB2312"/>
          <w:sz w:val="24"/>
        </w:rPr>
      </w:pPr>
      <w:r>
        <w:rPr>
          <w:rFonts w:hint="eastAsia" w:ascii="仿宋_GB2312" w:hAnsi="仿宋_GB2312" w:eastAsia="仿宋_GB2312" w:cs="仿宋_GB2312"/>
          <w:sz w:val="24"/>
        </w:rPr>
        <w:t>法定代表人（单位负责人）证明书及授权委托书</w:t>
      </w:r>
    </w:p>
    <w:p w14:paraId="09DD7120">
      <w:pPr>
        <w:widowControl/>
        <w:numPr>
          <w:ilvl w:val="3"/>
          <w:numId w:val="10"/>
        </w:numPr>
        <w:adjustRightInd w:val="0"/>
        <w:snapToGrid w:val="0"/>
        <w:spacing w:line="560" w:lineRule="exact"/>
        <w:jc w:val="left"/>
        <w:rPr>
          <w:rFonts w:ascii="仿宋_GB2312" w:hAnsi="仿宋_GB2312" w:eastAsia="仿宋_GB2312" w:cs="仿宋_GB2312"/>
          <w:sz w:val="24"/>
        </w:rPr>
      </w:pPr>
      <w:r>
        <w:rPr>
          <w:rFonts w:hint="eastAsia" w:ascii="仿宋_GB2312" w:hAnsi="仿宋_GB2312" w:eastAsia="仿宋_GB2312" w:cs="仿宋_GB2312"/>
          <w:sz w:val="24"/>
        </w:rPr>
        <w:t>关于资格的声明函</w:t>
      </w:r>
    </w:p>
    <w:p w14:paraId="0F499D90">
      <w:pPr>
        <w:widowControl/>
        <w:numPr>
          <w:ilvl w:val="3"/>
          <w:numId w:val="10"/>
        </w:numPr>
        <w:adjustRightInd w:val="0"/>
        <w:snapToGrid w:val="0"/>
        <w:spacing w:line="560" w:lineRule="exact"/>
        <w:jc w:val="left"/>
        <w:rPr>
          <w:rFonts w:ascii="仿宋_GB2312" w:hAnsi="仿宋_GB2312" w:eastAsia="仿宋_GB2312" w:cs="仿宋_GB2312"/>
          <w:sz w:val="24"/>
        </w:rPr>
      </w:pPr>
      <w:r>
        <w:rPr>
          <w:rFonts w:hint="eastAsia" w:ascii="仿宋_GB2312" w:hAnsi="仿宋_GB2312" w:eastAsia="仿宋_GB2312" w:cs="仿宋_GB2312"/>
          <w:sz w:val="24"/>
        </w:rPr>
        <w:t>对★采购需求响应承诺函</w:t>
      </w:r>
    </w:p>
    <w:p w14:paraId="162E54FD">
      <w:pPr>
        <w:widowControl/>
        <w:adjustRightInd w:val="0"/>
        <w:snapToGrid w:val="0"/>
        <w:spacing w:line="560" w:lineRule="exact"/>
        <w:ind w:firstLine="720" w:firstLineChars="300"/>
        <w:jc w:val="left"/>
        <w:rPr>
          <w:rFonts w:ascii="仿宋_GB2312" w:hAnsi="仿宋_GB2312" w:eastAsia="仿宋_GB2312" w:cs="仿宋_GB2312"/>
          <w:sz w:val="24"/>
        </w:rPr>
      </w:pPr>
      <w:r>
        <w:rPr>
          <w:rFonts w:hint="eastAsia" w:ascii="仿宋_GB2312" w:hAnsi="仿宋_GB2312" w:eastAsia="仿宋_GB2312" w:cs="仿宋_GB2312"/>
          <w:sz w:val="24"/>
        </w:rPr>
        <w:t>第三部分 综合评比部分</w:t>
      </w:r>
    </w:p>
    <w:p w14:paraId="0A7F1FD1">
      <w:pPr>
        <w:widowControl/>
        <w:numPr>
          <w:ilvl w:val="3"/>
          <w:numId w:val="0"/>
        </w:numPr>
        <w:adjustRightInd w:val="0"/>
        <w:snapToGrid w:val="0"/>
        <w:spacing w:line="560" w:lineRule="exact"/>
        <w:ind w:left="1680" w:hanging="420"/>
        <w:jc w:val="left"/>
        <w:rPr>
          <w:rFonts w:ascii="仿宋_GB2312" w:hAnsi="仿宋_GB2312" w:eastAsia="仿宋_GB2312" w:cs="仿宋_GB2312"/>
          <w:sz w:val="24"/>
        </w:rPr>
      </w:pPr>
      <w:r>
        <w:rPr>
          <w:rFonts w:hint="eastAsia" w:ascii="仿宋_GB2312" w:hAnsi="仿宋_GB2312" w:eastAsia="仿宋_GB2312" w:cs="仿宋_GB2312"/>
          <w:sz w:val="24"/>
        </w:rPr>
        <w:t>1.所投货物对用户需求书中带▲号的重要技术参数的符合性（参照附件《需求响应表》填写。）</w:t>
      </w:r>
    </w:p>
    <w:p w14:paraId="49F4475A">
      <w:pPr>
        <w:widowControl/>
        <w:numPr>
          <w:ilvl w:val="3"/>
          <w:numId w:val="0"/>
        </w:numPr>
        <w:adjustRightInd w:val="0"/>
        <w:snapToGrid w:val="0"/>
        <w:spacing w:line="560" w:lineRule="exact"/>
        <w:ind w:left="1680" w:hanging="420"/>
        <w:jc w:val="left"/>
        <w:rPr>
          <w:rFonts w:ascii="仿宋_GB2312" w:hAnsi="仿宋_GB2312" w:eastAsia="仿宋_GB2312" w:cs="仿宋_GB2312"/>
          <w:sz w:val="24"/>
        </w:rPr>
      </w:pPr>
      <w:r>
        <w:rPr>
          <w:rFonts w:hint="eastAsia" w:ascii="仿宋_GB2312" w:hAnsi="仿宋_GB2312" w:eastAsia="仿宋_GB2312" w:cs="仿宋_GB2312"/>
          <w:sz w:val="24"/>
        </w:rPr>
        <w:t>2.所投货物技术参数及性能与技术参数要求、用户需求书的符合性</w:t>
      </w:r>
    </w:p>
    <w:p w14:paraId="3B622AE7">
      <w:pPr>
        <w:widowControl/>
        <w:numPr>
          <w:ilvl w:val="3"/>
          <w:numId w:val="0"/>
        </w:numPr>
        <w:adjustRightInd w:val="0"/>
        <w:snapToGrid w:val="0"/>
        <w:spacing w:line="560" w:lineRule="exact"/>
        <w:ind w:left="1680" w:hanging="420"/>
        <w:jc w:val="left"/>
        <w:rPr>
          <w:rFonts w:ascii="仿宋_GB2312" w:hAnsi="仿宋_GB2312" w:eastAsia="仿宋_GB2312" w:cs="仿宋_GB2312"/>
          <w:sz w:val="24"/>
        </w:rPr>
      </w:pPr>
      <w:r>
        <w:rPr>
          <w:rFonts w:hint="eastAsia" w:ascii="仿宋_GB2312" w:hAnsi="仿宋_GB2312" w:eastAsia="仿宋_GB2312" w:cs="仿宋_GB2312"/>
          <w:sz w:val="24"/>
        </w:rPr>
        <w:t>3.质量保证及售后服务</w:t>
      </w:r>
    </w:p>
    <w:p w14:paraId="4014A647">
      <w:pPr>
        <w:widowControl/>
        <w:numPr>
          <w:ilvl w:val="3"/>
          <w:numId w:val="0"/>
        </w:numPr>
        <w:adjustRightInd w:val="0"/>
        <w:snapToGrid w:val="0"/>
        <w:spacing w:line="560" w:lineRule="exact"/>
        <w:ind w:left="1680" w:hanging="420"/>
        <w:jc w:val="left"/>
        <w:rPr>
          <w:rFonts w:ascii="仿宋_GB2312" w:hAnsi="仿宋_GB2312" w:eastAsia="仿宋_GB2312" w:cs="仿宋_GB2312"/>
          <w:sz w:val="24"/>
        </w:rPr>
      </w:pPr>
      <w:r>
        <w:rPr>
          <w:rFonts w:hint="eastAsia" w:ascii="仿宋_GB2312" w:hAnsi="仿宋_GB2312" w:eastAsia="仿宋_GB2312" w:cs="仿宋_GB2312"/>
          <w:sz w:val="24"/>
        </w:rPr>
        <w:t>4.供应商供货业绩</w:t>
      </w:r>
    </w:p>
    <w:p w14:paraId="733BBAC5">
      <w:pPr>
        <w:widowControl/>
        <w:numPr>
          <w:ilvl w:val="3"/>
          <w:numId w:val="0"/>
        </w:numPr>
        <w:adjustRightInd w:val="0"/>
        <w:snapToGrid w:val="0"/>
        <w:spacing w:line="560" w:lineRule="exact"/>
        <w:ind w:left="1680" w:hanging="420"/>
        <w:jc w:val="left"/>
        <w:rPr>
          <w:rFonts w:ascii="仿宋_GB2312" w:hAnsi="仿宋_GB2312" w:eastAsia="仿宋_GB2312" w:cs="仿宋_GB2312"/>
          <w:sz w:val="24"/>
        </w:rPr>
      </w:pPr>
      <w:r>
        <w:rPr>
          <w:rFonts w:hint="eastAsia" w:ascii="仿宋_GB2312" w:hAnsi="仿宋_GB2312" w:eastAsia="仿宋_GB2312" w:cs="仿宋_GB2312"/>
          <w:sz w:val="24"/>
        </w:rPr>
        <w:t>5.所投产品同品牌同型号货物供货情况</w:t>
      </w:r>
    </w:p>
    <w:p w14:paraId="5579149F">
      <w:pPr>
        <w:widowControl/>
        <w:numPr>
          <w:ilvl w:val="3"/>
          <w:numId w:val="0"/>
        </w:numPr>
        <w:adjustRightInd w:val="0"/>
        <w:snapToGrid w:val="0"/>
        <w:spacing w:line="560" w:lineRule="exact"/>
        <w:ind w:left="1680" w:hanging="420"/>
        <w:jc w:val="left"/>
        <w:rPr>
          <w:rFonts w:ascii="仿宋_GB2312" w:hAnsi="仿宋_GB2312" w:eastAsia="仿宋_GB2312" w:cs="仿宋_GB2312"/>
          <w:sz w:val="24"/>
        </w:rPr>
      </w:pPr>
      <w:r>
        <w:rPr>
          <w:rFonts w:hint="eastAsia" w:ascii="仿宋_GB2312" w:hAnsi="仿宋_GB2312" w:eastAsia="仿宋_GB2312" w:cs="仿宋_GB2312"/>
          <w:sz w:val="24"/>
        </w:rPr>
        <w:t>6.投标报价</w:t>
      </w:r>
    </w:p>
    <w:p w14:paraId="2118F7BF">
      <w:pPr>
        <w:widowControl/>
        <w:numPr>
          <w:ilvl w:val="3"/>
          <w:numId w:val="0"/>
        </w:numPr>
        <w:spacing w:line="560" w:lineRule="exact"/>
        <w:ind w:left="1680" w:hanging="420"/>
        <w:jc w:val="left"/>
        <w:rPr>
          <w:rFonts w:ascii="仿宋_GB2312" w:hAnsi="仿宋_GB2312" w:eastAsia="仿宋_GB2312" w:cs="仿宋_GB2312"/>
          <w:sz w:val="24"/>
        </w:rPr>
      </w:pPr>
      <w:r>
        <w:rPr>
          <w:rFonts w:hint="eastAsia" w:ascii="仿宋_GB2312" w:hAnsi="仿宋_GB2312" w:eastAsia="仿宋_GB2312" w:cs="仿宋_GB2312"/>
          <w:sz w:val="24"/>
        </w:rPr>
        <w:t>上述文件须按顺序装订成册，并编制参选文件目录。</w:t>
      </w:r>
    </w:p>
    <w:p w14:paraId="55E52803">
      <w:pPr>
        <w:pStyle w:val="4"/>
        <w:adjustRightInd w:val="0"/>
        <w:snapToGrid w:val="0"/>
        <w:spacing w:line="560" w:lineRule="exact"/>
        <w:rPr>
          <w:rFonts w:ascii="仿宋_GB2312" w:hAnsi="仿宋_GB2312" w:eastAsia="仿宋_GB2312" w:cs="仿宋_GB2312"/>
          <w:b/>
          <w:bCs/>
          <w:sz w:val="24"/>
        </w:rPr>
      </w:pPr>
      <w:bookmarkStart w:id="43" w:name="_Toc237415652"/>
      <w:bookmarkStart w:id="44" w:name="_Toc30673"/>
      <w:r>
        <w:rPr>
          <w:rFonts w:hint="eastAsia" w:ascii="仿宋_GB2312" w:hAnsi="仿宋_GB2312" w:eastAsia="仿宋_GB2312" w:cs="仿宋_GB2312"/>
          <w:b/>
          <w:bCs/>
          <w:sz w:val="24"/>
        </w:rPr>
        <w:t>9．参选文件格式</w:t>
      </w:r>
      <w:bookmarkEnd w:id="43"/>
      <w:bookmarkEnd w:id="44"/>
    </w:p>
    <w:p w14:paraId="533CDBD2">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9.1供应商应按照竞磋文件提供的参选文件格式填写，详见本竞磋文件第五部分《参选文件格式》。</w:t>
      </w:r>
    </w:p>
    <w:p w14:paraId="60C9F43C">
      <w:pPr>
        <w:pStyle w:val="4"/>
        <w:adjustRightInd w:val="0"/>
        <w:snapToGrid w:val="0"/>
        <w:spacing w:line="560" w:lineRule="exact"/>
        <w:rPr>
          <w:rFonts w:ascii="仿宋_GB2312" w:hAnsi="仿宋_GB2312" w:eastAsia="仿宋_GB2312" w:cs="仿宋_GB2312"/>
          <w:b/>
          <w:bCs/>
          <w:sz w:val="24"/>
        </w:rPr>
      </w:pPr>
      <w:bookmarkStart w:id="45" w:name="_Toc237415653"/>
      <w:bookmarkStart w:id="46" w:name="_Toc448"/>
      <w:r>
        <w:rPr>
          <w:rFonts w:hint="eastAsia" w:ascii="仿宋_GB2312" w:hAnsi="仿宋_GB2312" w:eastAsia="仿宋_GB2312" w:cs="仿宋_GB2312"/>
          <w:b/>
          <w:bCs/>
          <w:sz w:val="24"/>
        </w:rPr>
        <w:t>10．招标采购代理服务费收取标准</w:t>
      </w:r>
      <w:bookmarkEnd w:id="45"/>
      <w:bookmarkEnd w:id="46"/>
    </w:p>
    <w:p w14:paraId="3EAB7FAF">
      <w:pPr>
        <w:pStyle w:val="51"/>
        <w:numPr>
          <w:ilvl w:val="0"/>
          <w:numId w:val="0"/>
        </w:numPr>
        <w:adjustRightInd w:val="0"/>
        <w:snapToGrid w:val="0"/>
        <w:spacing w:line="560" w:lineRule="exact"/>
        <w:ind w:firstLine="720" w:firstLineChars="300"/>
        <w:rPr>
          <w:rFonts w:hint="default" w:cs="仿宋_GB2312"/>
        </w:rPr>
      </w:pPr>
      <w:r>
        <w:rPr>
          <w:rFonts w:cs="仿宋_GB2312"/>
        </w:rPr>
        <w:t>本项目不收取响应保证金、招标采购代理服务费。</w:t>
      </w:r>
    </w:p>
    <w:p w14:paraId="544E26E7">
      <w:pPr>
        <w:pStyle w:val="4"/>
        <w:adjustRightInd w:val="0"/>
        <w:snapToGrid w:val="0"/>
        <w:spacing w:line="560" w:lineRule="exact"/>
        <w:rPr>
          <w:rFonts w:ascii="仿宋_GB2312" w:hAnsi="仿宋_GB2312" w:eastAsia="仿宋_GB2312" w:cs="仿宋_GB2312"/>
          <w:b/>
          <w:bCs/>
          <w:sz w:val="24"/>
        </w:rPr>
      </w:pPr>
      <w:bookmarkStart w:id="47" w:name="_Toc237415654"/>
      <w:bookmarkStart w:id="48" w:name="_Toc18399"/>
      <w:r>
        <w:rPr>
          <w:rFonts w:hint="eastAsia" w:ascii="仿宋_GB2312" w:hAnsi="仿宋_GB2312" w:eastAsia="仿宋_GB2312" w:cs="仿宋_GB2312"/>
          <w:b/>
          <w:bCs/>
          <w:sz w:val="24"/>
        </w:rPr>
        <w:t>11．供应商资格证明的文件</w:t>
      </w:r>
      <w:bookmarkEnd w:id="47"/>
      <w:bookmarkEnd w:id="48"/>
    </w:p>
    <w:p w14:paraId="55374CF3">
      <w:pPr>
        <w:adjustRightInd w:val="0"/>
        <w:snapToGrid w:val="0"/>
        <w:spacing w:line="560" w:lineRule="exact"/>
        <w:ind w:firstLine="567"/>
        <w:rPr>
          <w:rFonts w:ascii="仿宋_GB2312" w:hAnsi="仿宋_GB2312" w:eastAsia="仿宋_GB2312" w:cs="仿宋_GB2312"/>
          <w:sz w:val="24"/>
        </w:rPr>
      </w:pPr>
      <w:r>
        <w:rPr>
          <w:rFonts w:hint="eastAsia" w:ascii="仿宋_GB2312" w:hAnsi="仿宋_GB2312" w:eastAsia="仿宋_GB2312" w:cs="仿宋_GB2312"/>
          <w:sz w:val="24"/>
        </w:rPr>
        <w:t>供应商必须具有本竞磋文件“第一部分竞磋公告”中规定的供应商必须具备的资质条件，作为参选文件的有效组成部分。</w:t>
      </w:r>
    </w:p>
    <w:p w14:paraId="458FE8BC">
      <w:pPr>
        <w:pStyle w:val="4"/>
        <w:adjustRightInd w:val="0"/>
        <w:snapToGrid w:val="0"/>
        <w:spacing w:line="560" w:lineRule="exact"/>
        <w:rPr>
          <w:rFonts w:ascii="仿宋_GB2312" w:hAnsi="仿宋_GB2312" w:eastAsia="仿宋_GB2312" w:cs="仿宋_GB2312"/>
          <w:b/>
          <w:bCs/>
          <w:sz w:val="24"/>
        </w:rPr>
      </w:pPr>
      <w:bookmarkStart w:id="49" w:name="_Toc237415655"/>
      <w:bookmarkStart w:id="50" w:name="_Toc19763"/>
      <w:r>
        <w:rPr>
          <w:rFonts w:hint="eastAsia" w:ascii="仿宋_GB2312" w:hAnsi="仿宋_GB2312" w:eastAsia="仿宋_GB2312" w:cs="仿宋_GB2312"/>
          <w:b/>
          <w:bCs/>
          <w:sz w:val="24"/>
        </w:rPr>
        <w:t>12．参选文件有效期</w:t>
      </w:r>
      <w:bookmarkEnd w:id="49"/>
      <w:bookmarkEnd w:id="50"/>
    </w:p>
    <w:p w14:paraId="3CE041B3">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有效期为从参选文件递交截止之日起，90天内。</w:t>
      </w:r>
    </w:p>
    <w:p w14:paraId="02453BDC">
      <w:pPr>
        <w:pStyle w:val="4"/>
        <w:adjustRightInd w:val="0"/>
        <w:snapToGrid w:val="0"/>
        <w:spacing w:line="560" w:lineRule="exact"/>
        <w:rPr>
          <w:rFonts w:ascii="仿宋_GB2312" w:hAnsi="仿宋_GB2312" w:eastAsia="仿宋_GB2312" w:cs="仿宋_GB2312"/>
          <w:b/>
          <w:bCs/>
          <w:sz w:val="24"/>
        </w:rPr>
      </w:pPr>
      <w:bookmarkStart w:id="51" w:name="_Toc237415656"/>
      <w:bookmarkStart w:id="52" w:name="_Toc27600"/>
      <w:r>
        <w:rPr>
          <w:rFonts w:hint="eastAsia" w:ascii="仿宋_GB2312" w:hAnsi="仿宋_GB2312" w:eastAsia="仿宋_GB2312" w:cs="仿宋_GB2312"/>
          <w:b/>
          <w:bCs/>
          <w:sz w:val="24"/>
        </w:rPr>
        <w:t>13．参选文件的签署及规定</w:t>
      </w:r>
      <w:bookmarkEnd w:id="51"/>
      <w:bookmarkEnd w:id="52"/>
    </w:p>
    <w:p w14:paraId="35161381">
      <w:pPr>
        <w:adjustRightInd w:val="0"/>
        <w:snapToGrid w:val="0"/>
        <w:spacing w:line="560" w:lineRule="exact"/>
        <w:rPr>
          <w:rFonts w:ascii="仿宋_GB2312" w:hAnsi="仿宋_GB2312" w:eastAsia="仿宋_GB2312" w:cs="仿宋_GB2312"/>
          <w:spacing w:val="-10"/>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b/>
          <w:bCs/>
          <w:sz w:val="24"/>
        </w:rPr>
        <w:t xml:space="preserve">  </w:t>
      </w:r>
      <w:r>
        <w:rPr>
          <w:rFonts w:hint="eastAsia" w:ascii="仿宋_GB2312" w:hAnsi="仿宋_GB2312" w:eastAsia="仿宋_GB2312" w:cs="仿宋_GB2312"/>
          <w:b/>
          <w:bCs/>
          <w:spacing w:val="-10"/>
          <w:sz w:val="24"/>
        </w:rPr>
        <w:t>13.1供应商应准备一式五份参选文件，其中正本一份，副本四份，在每一份参选文件上要明确注明“正本”或“副本”字样，一旦正本和副本有差异，以正本为准。</w:t>
      </w:r>
    </w:p>
    <w:p w14:paraId="2AF718A1">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13.2参选文件正本和副本必须打印并由正式授权的供应商代表签字。</w:t>
      </w:r>
    </w:p>
    <w:p w14:paraId="64789E05">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13.3除供应商对项目计算错误做必要修改外，参选文件中不许有加行、涂抹或改写。</w:t>
      </w:r>
    </w:p>
    <w:p w14:paraId="0253153D">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13.4电报、电话、传真形式的参选概不接受。</w:t>
      </w:r>
    </w:p>
    <w:p w14:paraId="48627C75">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13.5参选文件份数不足、未打印或未正式签署盖章的，其参选将会被拒绝。</w:t>
      </w:r>
    </w:p>
    <w:p w14:paraId="054D704C">
      <w:pPr>
        <w:pStyle w:val="3"/>
        <w:spacing w:line="560" w:lineRule="exact"/>
        <w:rPr>
          <w:rFonts w:ascii="Arial Unicode MS" w:hAnsi="Arial Unicode MS" w:eastAsia="宋体" w:cs="宋体"/>
          <w:b/>
        </w:rPr>
      </w:pPr>
    </w:p>
    <w:p w14:paraId="06D9CB49">
      <w:pPr>
        <w:pStyle w:val="3"/>
        <w:spacing w:line="560" w:lineRule="exact"/>
        <w:rPr>
          <w:rFonts w:hint="eastAsia" w:ascii="黑体" w:hAnsi="黑体" w:eastAsia="黑体" w:cs="黑体"/>
          <w:bCs/>
          <w:sz w:val="28"/>
          <w:szCs w:val="28"/>
        </w:rPr>
      </w:pPr>
      <w:bookmarkStart w:id="53" w:name="_Toc8984"/>
      <w:bookmarkStart w:id="54" w:name="_Toc237415657"/>
      <w:r>
        <w:rPr>
          <w:rFonts w:hint="eastAsia" w:ascii="黑体" w:hAnsi="黑体" w:eastAsia="黑体" w:cs="黑体"/>
          <w:bCs/>
          <w:sz w:val="28"/>
          <w:szCs w:val="28"/>
        </w:rPr>
        <w:t>D  参选文件的递交</w:t>
      </w:r>
      <w:bookmarkEnd w:id="53"/>
      <w:bookmarkEnd w:id="54"/>
    </w:p>
    <w:p w14:paraId="6C58616B">
      <w:pPr>
        <w:pStyle w:val="4"/>
        <w:adjustRightInd w:val="0"/>
        <w:snapToGrid w:val="0"/>
        <w:spacing w:line="560" w:lineRule="exact"/>
        <w:rPr>
          <w:rFonts w:ascii="仿宋_GB2312" w:hAnsi="仿宋_GB2312" w:eastAsia="仿宋_GB2312" w:cs="仿宋_GB2312"/>
          <w:b/>
          <w:bCs/>
          <w:sz w:val="24"/>
        </w:rPr>
      </w:pPr>
      <w:bookmarkStart w:id="55" w:name="_Toc237415658"/>
      <w:bookmarkStart w:id="56" w:name="_Toc10005"/>
      <w:r>
        <w:rPr>
          <w:rFonts w:hint="eastAsia" w:ascii="仿宋_GB2312" w:hAnsi="仿宋_GB2312" w:eastAsia="仿宋_GB2312" w:cs="仿宋_GB2312"/>
          <w:b/>
          <w:bCs/>
          <w:sz w:val="24"/>
        </w:rPr>
        <w:t>14．参选文件的密封和标记</w:t>
      </w:r>
      <w:bookmarkEnd w:id="55"/>
      <w:bookmarkEnd w:id="56"/>
    </w:p>
    <w:p w14:paraId="159E4507">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14.1供应商应将参选文件正本和副本分别用信封密封，在密封处加盖公章，在封面上标明竞磋项目编号、参选项目名称及“正本”或“副本”字样，封面标明“开标前不准启封”字样。</w:t>
      </w:r>
    </w:p>
    <w:p w14:paraId="73CADA75">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14.2为方便评审工作进行，供应商应将参选文件所涉及应提供的资质、资信等资格证明文件单独密封，并在封面上注明“参选文件附件”。此件为参选文件组成部分。</w:t>
      </w:r>
      <w:r>
        <w:rPr>
          <w:rFonts w:hint="eastAsia" w:ascii="仿宋_GB2312" w:hAnsi="仿宋_GB2312" w:eastAsia="仿宋_GB2312" w:cs="仿宋_GB2312"/>
          <w:b/>
          <w:bCs/>
          <w:sz w:val="24"/>
        </w:rPr>
        <w:t>另附参选文件正本PDF扫描电子版（需签字盖章）1份。（电子版必须以USB闪存盘或光盘保存，不留密码，无病毒，不压缩，用信封密封后随参选文件递交）。</w:t>
      </w:r>
    </w:p>
    <w:p w14:paraId="482BAE31">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14.3参选文件由专人送交，供应商应将参选文件按14.1、14.2中的规定进行密封和标记后，按竞磋文件注明的时间和地址送至采购人。</w:t>
      </w:r>
    </w:p>
    <w:p w14:paraId="4EC67906">
      <w:pPr>
        <w:pStyle w:val="4"/>
        <w:adjustRightInd w:val="0"/>
        <w:snapToGrid w:val="0"/>
        <w:spacing w:line="560" w:lineRule="exact"/>
        <w:rPr>
          <w:rFonts w:ascii="仿宋_GB2312" w:hAnsi="仿宋_GB2312" w:eastAsia="仿宋_GB2312" w:cs="仿宋_GB2312"/>
          <w:b/>
          <w:bCs/>
          <w:sz w:val="24"/>
        </w:rPr>
      </w:pPr>
      <w:bookmarkStart w:id="57" w:name="_Toc237415659"/>
      <w:bookmarkStart w:id="58" w:name="_Toc13333"/>
      <w:r>
        <w:rPr>
          <w:rFonts w:hint="eastAsia" w:ascii="仿宋_GB2312" w:hAnsi="仿宋_GB2312" w:eastAsia="仿宋_GB2312" w:cs="仿宋_GB2312"/>
          <w:b/>
          <w:bCs/>
          <w:sz w:val="24"/>
        </w:rPr>
        <w:t>15．参选文件递交的截止时间</w:t>
      </w:r>
      <w:bookmarkEnd w:id="57"/>
      <w:bookmarkEnd w:id="58"/>
    </w:p>
    <w:p w14:paraId="2F1DB23F">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所有参选文件都必须按本竞磋公告中规定的文件递交截止时间之前送至采购人。</w:t>
      </w:r>
    </w:p>
    <w:p w14:paraId="214BF747">
      <w:pPr>
        <w:pStyle w:val="4"/>
        <w:adjustRightInd w:val="0"/>
        <w:snapToGrid w:val="0"/>
        <w:spacing w:line="560" w:lineRule="exact"/>
        <w:rPr>
          <w:rFonts w:ascii="仿宋_GB2312" w:hAnsi="仿宋_GB2312" w:eastAsia="仿宋_GB2312" w:cs="仿宋_GB2312"/>
          <w:b/>
          <w:bCs/>
          <w:sz w:val="24"/>
        </w:rPr>
      </w:pPr>
      <w:bookmarkStart w:id="59" w:name="_Toc237415660"/>
      <w:bookmarkStart w:id="60" w:name="_Toc16094"/>
      <w:r>
        <w:rPr>
          <w:rFonts w:hint="eastAsia" w:ascii="仿宋_GB2312" w:hAnsi="仿宋_GB2312" w:eastAsia="仿宋_GB2312" w:cs="仿宋_GB2312"/>
          <w:b/>
          <w:bCs/>
          <w:sz w:val="24"/>
        </w:rPr>
        <w:t>16．迟交的参选文件</w:t>
      </w:r>
      <w:bookmarkEnd w:id="59"/>
      <w:bookmarkEnd w:id="60"/>
    </w:p>
    <w:p w14:paraId="7A5A10D8">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采购人将拒绝在文件递交截止时间后收到的参选文件。采购人不考虑迟交的参选文件的任何主观和客观原因。</w:t>
      </w:r>
    </w:p>
    <w:p w14:paraId="6C451531">
      <w:pPr>
        <w:pStyle w:val="4"/>
        <w:adjustRightInd w:val="0"/>
        <w:snapToGrid w:val="0"/>
        <w:spacing w:line="560" w:lineRule="exact"/>
        <w:rPr>
          <w:rFonts w:ascii="仿宋_GB2312" w:hAnsi="仿宋_GB2312" w:eastAsia="仿宋_GB2312" w:cs="仿宋_GB2312"/>
          <w:b/>
          <w:bCs/>
          <w:sz w:val="24"/>
        </w:rPr>
      </w:pPr>
      <w:bookmarkStart w:id="61" w:name="_Toc21269"/>
      <w:bookmarkStart w:id="62" w:name="_Toc237415661"/>
      <w:r>
        <w:rPr>
          <w:rFonts w:hint="eastAsia" w:ascii="仿宋_GB2312" w:hAnsi="仿宋_GB2312" w:eastAsia="仿宋_GB2312" w:cs="仿宋_GB2312"/>
          <w:b/>
          <w:bCs/>
          <w:sz w:val="24"/>
        </w:rPr>
        <w:t>17．参选文件的修改</w:t>
      </w:r>
      <w:bookmarkEnd w:id="61"/>
      <w:bookmarkEnd w:id="62"/>
    </w:p>
    <w:p w14:paraId="314AFA34">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供应商在文件递交时间截止前，对所递交的参选文件可以补充、修改或者撤回，并书面通知采购人，补充、修改的内容为参选文件的组成部分。对供应商具有约束力。</w:t>
      </w:r>
    </w:p>
    <w:p w14:paraId="246D6B0B">
      <w:pPr>
        <w:pStyle w:val="4"/>
        <w:adjustRightInd w:val="0"/>
        <w:snapToGrid w:val="0"/>
        <w:spacing w:line="560" w:lineRule="exact"/>
        <w:rPr>
          <w:rFonts w:ascii="仿宋_GB2312" w:hAnsi="仿宋_GB2312" w:eastAsia="仿宋_GB2312" w:cs="仿宋_GB2312"/>
          <w:b/>
          <w:bCs/>
          <w:sz w:val="24"/>
        </w:rPr>
      </w:pPr>
      <w:bookmarkStart w:id="63" w:name="_Toc23274"/>
      <w:bookmarkStart w:id="64" w:name="_Toc237415662"/>
      <w:r>
        <w:rPr>
          <w:rFonts w:hint="eastAsia" w:ascii="仿宋_GB2312" w:hAnsi="仿宋_GB2312" w:eastAsia="仿宋_GB2312" w:cs="仿宋_GB2312"/>
          <w:b/>
          <w:bCs/>
          <w:sz w:val="24"/>
        </w:rPr>
        <w:t>18．项目分包</w:t>
      </w:r>
      <w:bookmarkEnd w:id="63"/>
      <w:bookmarkEnd w:id="64"/>
    </w:p>
    <w:p w14:paraId="14B049C9">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本项目规定不允许确定的中选人将本项目分包交由他人完成。</w:t>
      </w:r>
    </w:p>
    <w:p w14:paraId="4A0B4DC1">
      <w:pPr>
        <w:pStyle w:val="4"/>
        <w:adjustRightInd w:val="0"/>
        <w:snapToGrid w:val="0"/>
        <w:spacing w:line="560" w:lineRule="exact"/>
        <w:rPr>
          <w:rFonts w:ascii="仿宋_GB2312" w:hAnsi="仿宋_GB2312" w:eastAsia="仿宋_GB2312" w:cs="仿宋_GB2312"/>
          <w:b/>
          <w:bCs/>
          <w:sz w:val="24"/>
        </w:rPr>
      </w:pPr>
      <w:bookmarkStart w:id="65" w:name="_Toc237415663"/>
      <w:bookmarkStart w:id="66" w:name="_Toc3955"/>
      <w:r>
        <w:rPr>
          <w:rFonts w:hint="eastAsia" w:ascii="仿宋_GB2312" w:hAnsi="仿宋_GB2312" w:eastAsia="仿宋_GB2312" w:cs="仿宋_GB2312"/>
          <w:b/>
          <w:bCs/>
          <w:sz w:val="24"/>
        </w:rPr>
        <w:t>19．参选联合体</w:t>
      </w:r>
      <w:bookmarkEnd w:id="65"/>
      <w:bookmarkEnd w:id="66"/>
    </w:p>
    <w:p w14:paraId="2EB2C59F">
      <w:pPr>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本项目规定不允许两个或以上供应商组成联合体参加采购。</w:t>
      </w:r>
    </w:p>
    <w:p w14:paraId="1B543CCE">
      <w:pPr>
        <w:pStyle w:val="3"/>
        <w:spacing w:line="560" w:lineRule="exact"/>
        <w:rPr>
          <w:rFonts w:ascii="仿宋_GB2312" w:hAnsi="仿宋_GB2312" w:cs="仿宋_GB2312"/>
          <w:b/>
        </w:rPr>
      </w:pPr>
      <w:bookmarkStart w:id="67" w:name="_Toc98040818"/>
    </w:p>
    <w:bookmarkEnd w:id="67"/>
    <w:p w14:paraId="09AD6EBA">
      <w:pPr>
        <w:pStyle w:val="3"/>
        <w:spacing w:line="560" w:lineRule="exact"/>
        <w:rPr>
          <w:rFonts w:hint="eastAsia" w:ascii="黑体" w:hAnsi="黑体" w:eastAsia="黑体" w:cs="黑体"/>
          <w:bCs/>
          <w:sz w:val="28"/>
          <w:szCs w:val="28"/>
        </w:rPr>
      </w:pPr>
      <w:bookmarkStart w:id="68" w:name="_Toc237415664"/>
      <w:bookmarkStart w:id="69" w:name="_Toc363"/>
      <w:r>
        <w:rPr>
          <w:rFonts w:hint="eastAsia" w:ascii="黑体" w:hAnsi="黑体" w:eastAsia="黑体" w:cs="黑体"/>
          <w:bCs/>
          <w:sz w:val="28"/>
          <w:szCs w:val="28"/>
        </w:rPr>
        <w:t>E 评审</w:t>
      </w:r>
      <w:bookmarkEnd w:id="68"/>
      <w:bookmarkEnd w:id="69"/>
      <w:r>
        <w:rPr>
          <w:rFonts w:hint="eastAsia" w:ascii="黑体" w:hAnsi="黑体" w:eastAsia="黑体" w:cs="黑体"/>
          <w:bCs/>
          <w:sz w:val="28"/>
          <w:szCs w:val="28"/>
        </w:rPr>
        <w:tab/>
      </w:r>
      <w:bookmarkStart w:id="70" w:name="_Toc98040819"/>
    </w:p>
    <w:p w14:paraId="5D7D7869">
      <w:pPr>
        <w:pStyle w:val="4"/>
        <w:adjustRightInd w:val="0"/>
        <w:snapToGrid w:val="0"/>
        <w:spacing w:line="560" w:lineRule="exact"/>
        <w:rPr>
          <w:rFonts w:ascii="仿宋_GB2312" w:hAnsi="仿宋_GB2312" w:eastAsia="仿宋_GB2312" w:cs="仿宋_GB2312"/>
          <w:b/>
          <w:bCs/>
          <w:sz w:val="24"/>
        </w:rPr>
      </w:pPr>
      <w:bookmarkStart w:id="71" w:name="_Toc237415665"/>
      <w:bookmarkStart w:id="72" w:name="_Toc25014"/>
      <w:r>
        <w:rPr>
          <w:rFonts w:hint="eastAsia" w:ascii="仿宋_GB2312" w:hAnsi="仿宋_GB2312" w:eastAsia="仿宋_GB2312" w:cs="仿宋_GB2312"/>
          <w:b/>
          <w:bCs/>
          <w:sz w:val="24"/>
        </w:rPr>
        <w:t>20. 参选文件的递交</w:t>
      </w:r>
      <w:bookmarkEnd w:id="70"/>
      <w:bookmarkEnd w:id="71"/>
      <w:bookmarkEnd w:id="72"/>
    </w:p>
    <w:p w14:paraId="31813FBE">
      <w:pPr>
        <w:tabs>
          <w:tab w:val="left" w:pos="2084"/>
        </w:tabs>
        <w:adjustRightInd w:val="0"/>
        <w:snapToGrid w:val="0"/>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采购人在竞磋文件中规定的日期、时间和地点接收参选文件，参加采购的供应商法人代表或其授权代表应签到以证明其递交。</w:t>
      </w:r>
      <w:bookmarkStart w:id="73" w:name="_Toc98040820"/>
      <w:bookmarkStart w:id="74" w:name="_Toc488318871"/>
    </w:p>
    <w:p w14:paraId="46772F92">
      <w:pPr>
        <w:pStyle w:val="4"/>
        <w:adjustRightInd w:val="0"/>
        <w:snapToGrid w:val="0"/>
        <w:spacing w:line="560" w:lineRule="exact"/>
        <w:rPr>
          <w:rFonts w:ascii="仿宋_GB2312" w:hAnsi="仿宋_GB2312" w:eastAsia="仿宋_GB2312" w:cs="仿宋_GB2312"/>
          <w:b/>
          <w:bCs/>
          <w:sz w:val="24"/>
        </w:rPr>
      </w:pPr>
      <w:bookmarkStart w:id="75" w:name="_Toc12142"/>
      <w:bookmarkStart w:id="76" w:name="_Toc237415666"/>
      <w:r>
        <w:rPr>
          <w:rFonts w:hint="eastAsia" w:ascii="仿宋_GB2312" w:hAnsi="仿宋_GB2312" w:eastAsia="仿宋_GB2312" w:cs="仿宋_GB2312"/>
          <w:b/>
          <w:bCs/>
          <w:sz w:val="24"/>
        </w:rPr>
        <w:t>21.</w:t>
      </w:r>
      <w:bookmarkEnd w:id="73"/>
      <w:bookmarkEnd w:id="74"/>
      <w:r>
        <w:rPr>
          <w:rFonts w:hint="eastAsia" w:ascii="仿宋_GB2312" w:hAnsi="仿宋_GB2312" w:eastAsia="仿宋_GB2312" w:cs="仿宋_GB2312"/>
          <w:b/>
          <w:bCs/>
          <w:sz w:val="24"/>
        </w:rPr>
        <w:t xml:space="preserve"> 评委会</w:t>
      </w:r>
      <w:bookmarkEnd w:id="75"/>
      <w:bookmarkEnd w:id="76"/>
    </w:p>
    <w:p w14:paraId="6568BBD2">
      <w:pPr>
        <w:tabs>
          <w:tab w:val="left" w:pos="2084"/>
        </w:tabs>
        <w:adjustRightInd w:val="0"/>
        <w:snapToGrid w:val="0"/>
        <w:spacing w:after="240"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21.1采购人将根据本次竞磋项目的特点组建评审委员会，其成员由有关方面的技术专家组成。评审委员会对参选文件进行审查、质疑、评估和比较。</w:t>
      </w:r>
    </w:p>
    <w:p w14:paraId="7DFA4193">
      <w:pPr>
        <w:tabs>
          <w:tab w:val="left" w:pos="2084"/>
        </w:tabs>
        <w:adjustRightInd w:val="0"/>
        <w:snapToGrid w:val="0"/>
        <w:spacing w:after="240"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21.2评审委员会依法独立行使评审职责，不受其它单位和个人影响。</w:t>
      </w:r>
      <w:bookmarkStart w:id="77" w:name="_Toc98040821"/>
    </w:p>
    <w:p w14:paraId="04B29FE3">
      <w:pPr>
        <w:pStyle w:val="4"/>
        <w:adjustRightInd w:val="0"/>
        <w:snapToGrid w:val="0"/>
        <w:spacing w:line="560" w:lineRule="exact"/>
        <w:rPr>
          <w:rFonts w:ascii="仿宋_GB2312" w:hAnsi="仿宋_GB2312" w:eastAsia="仿宋_GB2312" w:cs="仿宋_GB2312"/>
          <w:b/>
          <w:bCs/>
          <w:sz w:val="24"/>
        </w:rPr>
      </w:pPr>
      <w:bookmarkStart w:id="78" w:name="_Toc237415667"/>
      <w:bookmarkStart w:id="79" w:name="_Toc1772"/>
      <w:r>
        <w:rPr>
          <w:rFonts w:hint="eastAsia" w:ascii="仿宋_GB2312" w:hAnsi="仿宋_GB2312" w:eastAsia="仿宋_GB2312" w:cs="仿宋_GB2312"/>
          <w:b/>
          <w:bCs/>
          <w:sz w:val="24"/>
        </w:rPr>
        <w:t>22.</w:t>
      </w:r>
      <w:bookmarkEnd w:id="77"/>
      <w:r>
        <w:rPr>
          <w:rFonts w:hint="eastAsia" w:ascii="仿宋_GB2312" w:hAnsi="仿宋_GB2312" w:eastAsia="仿宋_GB2312" w:cs="仿宋_GB2312"/>
          <w:b/>
          <w:bCs/>
          <w:sz w:val="24"/>
        </w:rPr>
        <w:t xml:space="preserve"> 对“参选文件”的审查和响应性的确定</w:t>
      </w:r>
      <w:bookmarkEnd w:id="78"/>
      <w:bookmarkEnd w:id="79"/>
    </w:p>
    <w:p w14:paraId="53AC8821">
      <w:pPr>
        <w:tabs>
          <w:tab w:val="left" w:pos="2084"/>
        </w:tabs>
        <w:adjustRightInd w:val="0"/>
        <w:snapToGrid w:val="0"/>
        <w:spacing w:after="240"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22.1参选文件是否完整，是否有计算错误，参选文件是否恰当地签署。如果单价与总价有出入，以总价为准，若文字大写表示的数据与数字表示有差别，则以文字大写表示的数据为准。若供应商拒绝上述修正，其参选将被拒绝。</w:t>
      </w:r>
    </w:p>
    <w:p w14:paraId="1CEF2A77">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22.2在对参选文件进行详细评估之前，采购人将依据供应商提供的资格证明文件审查供应商的财务、技术和服务能力。如果确定供应商不具备本竞磋文件要求的资质，将被判定为不合格供应商，其参选将被拒绝。</w:t>
      </w:r>
    </w:p>
    <w:p w14:paraId="1E3CCDDB">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22.3采购人将确定每一供应商是否对竞磋文件的要求做出了实质性的响应，而没有重大偏离。实质性响应的参选是指符合竞磋文件的所有条款、条件和规定且没有重大偏离或保留。重大偏离或保留是指影响到竞磋文件规定的范围、质量和性能，或限制了需方的权力和供应商的义务的规定，而纠正这些偏离将影响到其它提交实质性响应的供应商的公平竞争地位。</w:t>
      </w:r>
    </w:p>
    <w:p w14:paraId="1DB20DFF">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22.4采购人判断参选文件的响应性仅基于参选文件本身而不靠外部证据。</w:t>
      </w:r>
    </w:p>
    <w:p w14:paraId="52CFB565">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22.5采购人将拒绝被确定为非实质性响应的供应商，供应商不能通过修正或撤销不符合之处而使其参选成为实质性响应的参选。</w:t>
      </w:r>
    </w:p>
    <w:p w14:paraId="056EC1A8">
      <w:pPr>
        <w:tabs>
          <w:tab w:val="left" w:pos="2084"/>
        </w:tabs>
        <w:adjustRightInd w:val="0"/>
        <w:snapToGrid w:val="0"/>
        <w:spacing w:line="560" w:lineRule="exact"/>
        <w:ind w:firstLine="470" w:firstLineChars="196"/>
        <w:rPr>
          <w:rFonts w:hint="eastAsia" w:ascii="仿宋_GB2312" w:hAnsi="仿宋_GB2312" w:eastAsia="仿宋_GB2312" w:cs="仿宋_GB2312"/>
          <w:sz w:val="24"/>
        </w:rPr>
      </w:pPr>
      <w:r>
        <w:rPr>
          <w:rFonts w:hint="eastAsia" w:ascii="仿宋_GB2312" w:hAnsi="仿宋_GB2312" w:eastAsia="仿宋_GB2312" w:cs="仿宋_GB2312"/>
          <w:sz w:val="24"/>
        </w:rPr>
        <w:t>22.6采购人允许修改参选文件中不构成重大偏离的、微小的、非正规的、不一致的或不规则的地方。</w:t>
      </w:r>
    </w:p>
    <w:p w14:paraId="47FAAF58">
      <w:pPr>
        <w:tabs>
          <w:tab w:val="left" w:pos="2084"/>
        </w:tabs>
        <w:adjustRightInd w:val="0"/>
        <w:snapToGrid w:val="0"/>
        <w:spacing w:line="560" w:lineRule="exact"/>
        <w:ind w:firstLine="470" w:firstLineChars="196"/>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22.7</w:t>
      </w:r>
      <w:r>
        <w:rPr>
          <w:rFonts w:hint="eastAsia" w:ascii="仿宋_GB2312" w:hAnsi="仿宋_GB2312" w:eastAsia="仿宋_GB2312" w:cs="仿宋_GB2312"/>
          <w:sz w:val="24"/>
          <w:szCs w:val="24"/>
        </w:rPr>
        <w:t>满足采购项目所有实质性要求的供应商只有2家，或者二次公告结束后递交响应文件的供应商只有2家且满足采购项目供应商资格条件和满足采购项目所有实质性要求的，可以按照采购文件规定的流程继续进行评审。</w:t>
      </w:r>
    </w:p>
    <w:p w14:paraId="0507F4F8">
      <w:pPr>
        <w:pStyle w:val="4"/>
        <w:adjustRightInd w:val="0"/>
        <w:snapToGrid w:val="0"/>
        <w:spacing w:line="560" w:lineRule="exact"/>
        <w:rPr>
          <w:rFonts w:ascii="仿宋_GB2312" w:hAnsi="仿宋_GB2312" w:eastAsia="仿宋_GB2312" w:cs="仿宋_GB2312"/>
          <w:b/>
          <w:bCs/>
          <w:sz w:val="24"/>
        </w:rPr>
      </w:pPr>
      <w:bookmarkStart w:id="80" w:name="_Toc98040822"/>
      <w:bookmarkStart w:id="81" w:name="_Toc237415668"/>
      <w:bookmarkStart w:id="82" w:name="_Toc22829"/>
      <w:r>
        <w:rPr>
          <w:rFonts w:hint="eastAsia" w:ascii="仿宋_GB2312" w:hAnsi="仿宋_GB2312" w:eastAsia="仿宋_GB2312" w:cs="仿宋_GB2312"/>
          <w:b/>
          <w:bCs/>
          <w:sz w:val="24"/>
        </w:rPr>
        <w:t>23.</w:t>
      </w:r>
      <w:bookmarkEnd w:id="80"/>
      <w:r>
        <w:rPr>
          <w:rFonts w:hint="eastAsia" w:ascii="仿宋_GB2312" w:hAnsi="仿宋_GB2312" w:eastAsia="仿宋_GB2312" w:cs="仿宋_GB2312"/>
          <w:b/>
          <w:bCs/>
          <w:sz w:val="24"/>
        </w:rPr>
        <w:t xml:space="preserve"> 参选文件的澄清</w:t>
      </w:r>
      <w:bookmarkEnd w:id="81"/>
      <w:bookmarkEnd w:id="82"/>
    </w:p>
    <w:p w14:paraId="1D4D84A5">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23.1为了有助于对参选文件进行审查、评估和比较，采购人有权向供应商质疑，请供应商澄清其参选内容。供应商有责任按照采购人的要求进行答疑和澄清。</w:t>
      </w:r>
    </w:p>
    <w:p w14:paraId="41E66A69">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23.2重要澄清的答复应是书面的，但不得对参选内容进行实质性的修改。澄清答复文件将作为参选文件的组成部分。</w:t>
      </w:r>
    </w:p>
    <w:p w14:paraId="3F8D0806">
      <w:pPr>
        <w:pStyle w:val="4"/>
        <w:adjustRightInd w:val="0"/>
        <w:snapToGrid w:val="0"/>
        <w:spacing w:line="560" w:lineRule="exact"/>
        <w:rPr>
          <w:rFonts w:ascii="仿宋_GB2312" w:hAnsi="仿宋_GB2312" w:eastAsia="仿宋_GB2312" w:cs="仿宋_GB2312"/>
          <w:b/>
          <w:bCs/>
          <w:sz w:val="24"/>
        </w:rPr>
      </w:pPr>
      <w:bookmarkStart w:id="83" w:name="_Toc98040823"/>
      <w:bookmarkStart w:id="84" w:name="_Toc18473"/>
      <w:bookmarkStart w:id="85" w:name="_Toc237415669"/>
      <w:r>
        <w:rPr>
          <w:rFonts w:hint="eastAsia" w:ascii="仿宋_GB2312" w:hAnsi="仿宋_GB2312" w:eastAsia="仿宋_GB2312" w:cs="仿宋_GB2312"/>
          <w:b/>
          <w:bCs/>
          <w:sz w:val="24"/>
        </w:rPr>
        <w:t>24.</w:t>
      </w:r>
      <w:bookmarkEnd w:id="83"/>
      <w:r>
        <w:rPr>
          <w:rFonts w:hint="eastAsia" w:ascii="仿宋_GB2312" w:hAnsi="仿宋_GB2312" w:eastAsia="仿宋_GB2312" w:cs="仿宋_GB2312"/>
          <w:b/>
          <w:bCs/>
          <w:sz w:val="24"/>
        </w:rPr>
        <w:t xml:space="preserve"> 评审原则和方法</w:t>
      </w:r>
      <w:bookmarkEnd w:id="84"/>
      <w:bookmarkEnd w:id="85"/>
    </w:p>
    <w:p w14:paraId="2079ABC4">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24.1</w:t>
      </w:r>
      <w:bookmarkStart w:id="86" w:name="_Toc98040824"/>
      <w:r>
        <w:rPr>
          <w:rFonts w:hint="eastAsia" w:ascii="仿宋_GB2312" w:hAnsi="仿宋_GB2312" w:eastAsia="仿宋_GB2312" w:cs="仿宋_GB2312"/>
          <w:sz w:val="24"/>
        </w:rPr>
        <w:t>由评审委员会组织评审。评审工作在评审委员会内秘密、独立地进行，不受其它单位和个人的影响。</w:t>
      </w:r>
    </w:p>
    <w:p w14:paraId="76BF5305">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24.2评审委员会负责审查参选文件是否符合竞磋文件的要求，并作出评价。评审委员会认为必要时，可向供应商进行质疑。评审委员会有权决定全部或部分参选无效。</w:t>
      </w:r>
    </w:p>
    <w:p w14:paraId="24E0D856">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24.3全部参选报价均超出项目预算时，评审委员会有权决定全部参选为无效参选。</w:t>
      </w:r>
    </w:p>
    <w:p w14:paraId="60D815E9">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24.4评审委员会就所有参选文件是否对竞磋文件的实质性要求做出完全性响应进行审查，确定合格供应商。</w:t>
      </w:r>
    </w:p>
    <w:p w14:paraId="5CCD6E19">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24.5评审委员会对每个参选文件的实际响应竞磋文件情况、参选价格、项目服务等方面进行评选，评委推荐综合得分最高的供应商为中选人。</w:t>
      </w:r>
    </w:p>
    <w:p w14:paraId="5005A8D8">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24.6只有通过初步审查的参选文件才能有资格进入下一阶段的评审，否则将被淘汰。</w:t>
      </w:r>
    </w:p>
    <w:p w14:paraId="042B58AA">
      <w:pPr>
        <w:tabs>
          <w:tab w:val="left" w:pos="2084"/>
        </w:tabs>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24.7评审方法：参照附表2。</w:t>
      </w:r>
    </w:p>
    <w:p w14:paraId="0DF51E58">
      <w:pPr>
        <w:pStyle w:val="4"/>
        <w:numPr>
          <w:ilvl w:val="0"/>
          <w:numId w:val="11"/>
        </w:numPr>
        <w:adjustRightInd w:val="0"/>
        <w:snapToGrid w:val="0"/>
        <w:spacing w:line="560" w:lineRule="exact"/>
        <w:rPr>
          <w:rFonts w:ascii="仿宋_GB2312" w:hAnsi="仿宋_GB2312" w:eastAsia="仿宋_GB2312" w:cs="仿宋_GB2312"/>
          <w:b/>
          <w:bCs/>
          <w:sz w:val="24"/>
        </w:rPr>
      </w:pPr>
      <w:bookmarkStart w:id="87" w:name="_Toc237415670"/>
      <w:bookmarkStart w:id="88" w:name="_Toc15127"/>
      <w:bookmarkStart w:id="89" w:name="_Toc13028"/>
      <w:bookmarkStart w:id="90" w:name="_Toc14891"/>
      <w:r>
        <w:rPr>
          <w:rFonts w:hint="eastAsia" w:ascii="仿宋_GB2312" w:hAnsi="仿宋_GB2312" w:eastAsia="仿宋_GB2312" w:cs="仿宋_GB2312"/>
          <w:b/>
          <w:bCs/>
          <w:sz w:val="24"/>
        </w:rPr>
        <w:t>评审会</w:t>
      </w:r>
      <w:bookmarkEnd w:id="87"/>
      <w:bookmarkEnd w:id="88"/>
      <w:bookmarkEnd w:id="89"/>
      <w:bookmarkEnd w:id="90"/>
    </w:p>
    <w:p w14:paraId="0F99CC5F">
      <w:pPr>
        <w:adjustRightInd w:val="0"/>
        <w:snapToGrid w:val="0"/>
        <w:spacing w:line="560" w:lineRule="exact"/>
        <w:ind w:firstLine="470" w:firstLineChars="196"/>
        <w:rPr>
          <w:rFonts w:ascii="仿宋_GB2312" w:hAnsi="仿宋_GB2312" w:eastAsia="仿宋_GB2312" w:cs="仿宋_GB2312"/>
          <w:sz w:val="24"/>
        </w:rPr>
      </w:pPr>
      <w:bookmarkStart w:id="91" w:name="_Ref179621054"/>
      <w:r>
        <w:rPr>
          <w:rFonts w:hint="eastAsia" w:ascii="仿宋_GB2312" w:hAnsi="仿宋_GB2312" w:eastAsia="仿宋_GB2312" w:cs="仿宋_GB2312"/>
          <w:sz w:val="24"/>
        </w:rPr>
        <w:t>25.1采购人在邀请函中规定的日期、时间和地点组织评审会。</w:t>
      </w:r>
      <w:bookmarkEnd w:id="91"/>
      <w:r>
        <w:rPr>
          <w:rFonts w:hint="eastAsia" w:ascii="仿宋_GB2312" w:hAnsi="仿宋_GB2312" w:eastAsia="仿宋_GB2312" w:cs="仿宋_GB2312"/>
          <w:sz w:val="24"/>
        </w:rPr>
        <w:t>评审会由采购人主持，邀请供应商派授权代表参加。</w:t>
      </w:r>
    </w:p>
    <w:p w14:paraId="1A42070B">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25.2响应文件的密封情况由参与评审会的供应商代表或者其推选的代表进行检查（若不推选，则默认签到靠前的供应商代表作为推选的代表）。</w:t>
      </w:r>
    </w:p>
    <w:p w14:paraId="7215031D">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25.3采购人组织供应商按报名顺序汇报，与会人员签名确认。</w:t>
      </w:r>
    </w:p>
    <w:p w14:paraId="2B2572BC">
      <w:pPr>
        <w:pStyle w:val="4"/>
        <w:adjustRightInd w:val="0"/>
        <w:snapToGrid w:val="0"/>
        <w:spacing w:line="560" w:lineRule="exact"/>
        <w:rPr>
          <w:rFonts w:ascii="仿宋_GB2312" w:hAnsi="仿宋_GB2312" w:eastAsia="仿宋_GB2312" w:cs="仿宋_GB2312"/>
          <w:b/>
          <w:bCs/>
          <w:sz w:val="24"/>
        </w:rPr>
      </w:pPr>
      <w:bookmarkStart w:id="92" w:name="_Toc5813"/>
      <w:bookmarkStart w:id="93" w:name="_Toc237415671"/>
      <w:r>
        <w:rPr>
          <w:rFonts w:hint="eastAsia" w:ascii="仿宋_GB2312" w:hAnsi="仿宋_GB2312" w:eastAsia="仿宋_GB2312" w:cs="仿宋_GB2312"/>
          <w:b/>
          <w:bCs/>
          <w:sz w:val="24"/>
        </w:rPr>
        <w:t>26. 评审小组和评审方法</w:t>
      </w:r>
      <w:bookmarkEnd w:id="92"/>
      <w:bookmarkEnd w:id="93"/>
    </w:p>
    <w:p w14:paraId="56AF723C">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26.1评审小组根据采购项目的特点依法组建，并负责评审工作。</w:t>
      </w:r>
    </w:p>
    <w:p w14:paraId="23BE3CC5">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26.2评审专家有下列情形之一的，受到邀请应主动提出回避，采购人和监管部门也可以要求该评审专家回避：</w:t>
      </w:r>
    </w:p>
    <w:p w14:paraId="542E044B">
      <w:pPr>
        <w:widowControl/>
        <w:adjustRightInd w:val="0"/>
        <w:snapToGrid w:val="0"/>
        <w:spacing w:line="560" w:lineRule="exact"/>
        <w:ind w:firstLine="470" w:firstLineChars="196"/>
        <w:jc w:val="left"/>
        <w:rPr>
          <w:rFonts w:ascii="仿宋_GB2312" w:hAnsi="仿宋_GB2312" w:eastAsia="仿宋_GB2312" w:cs="仿宋_GB2312"/>
          <w:sz w:val="24"/>
        </w:rPr>
      </w:pPr>
      <w:r>
        <w:rPr>
          <w:rFonts w:hint="eastAsia" w:ascii="仿宋_GB2312" w:hAnsi="仿宋_GB2312" w:eastAsia="仿宋_GB2312" w:cs="仿宋_GB2312"/>
          <w:sz w:val="24"/>
        </w:rPr>
        <w:t>（1）参加本竞磋活动前三年内，与供应商存在劳动关系，或者担任过供应商的董事、监事，或者是供应商的控股股东或实际控制人；</w:t>
      </w:r>
    </w:p>
    <w:p w14:paraId="046789F7">
      <w:pPr>
        <w:widowControl/>
        <w:adjustRightInd w:val="0"/>
        <w:snapToGrid w:val="0"/>
        <w:spacing w:line="560" w:lineRule="exact"/>
        <w:ind w:firstLine="470" w:firstLineChars="196"/>
        <w:jc w:val="left"/>
        <w:rPr>
          <w:rFonts w:ascii="仿宋_GB2312" w:hAnsi="仿宋_GB2312" w:eastAsia="仿宋_GB2312" w:cs="仿宋_GB2312"/>
          <w:sz w:val="24"/>
        </w:rPr>
      </w:pPr>
      <w:r>
        <w:rPr>
          <w:rFonts w:hint="eastAsia" w:ascii="仿宋_GB2312" w:hAnsi="仿宋_GB2312" w:eastAsia="仿宋_GB2312" w:cs="仿宋_GB2312"/>
          <w:sz w:val="24"/>
        </w:rPr>
        <w:t>（2）与供应商的法定代表人或者负责人有夫妻、直系血亲、三代以内旁系血亲或者近姻亲关系；</w:t>
      </w:r>
    </w:p>
    <w:p w14:paraId="13247E9B">
      <w:pPr>
        <w:widowControl/>
        <w:adjustRightInd w:val="0"/>
        <w:snapToGrid w:val="0"/>
        <w:spacing w:line="560" w:lineRule="exact"/>
        <w:ind w:firstLine="470" w:firstLineChars="196"/>
        <w:jc w:val="left"/>
        <w:rPr>
          <w:rFonts w:ascii="仿宋_GB2312" w:hAnsi="仿宋_GB2312" w:eastAsia="仿宋_GB2312" w:cs="仿宋_GB2312"/>
          <w:sz w:val="24"/>
        </w:rPr>
      </w:pPr>
      <w:r>
        <w:rPr>
          <w:rFonts w:hint="eastAsia" w:ascii="仿宋_GB2312" w:hAnsi="仿宋_GB2312" w:eastAsia="仿宋_GB2312" w:cs="仿宋_GB2312"/>
          <w:sz w:val="24"/>
        </w:rPr>
        <w:t>（3）与供应商有其他可能影响竞磋活动公平、公正进行的关系。</w:t>
      </w:r>
    </w:p>
    <w:p w14:paraId="7A19CAC9">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26.3本评审办法采用评审专家综合评比推荐模式。</w:t>
      </w:r>
    </w:p>
    <w:p w14:paraId="4A856FFD">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26.4评审步骤：评审委员初步审核，邀请供应商现场述标，评审委员进行综合评比。只有通过初步审查的供应商才能进入现场述标及综合评比环节。最后评审委员会出具评审报告，并排序向采购人推荐中选候选人。</w:t>
      </w:r>
    </w:p>
    <w:p w14:paraId="7C261732">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26.5推荐及其统计：评审委员会各成员分别从参选文件的实际响应竞磋文件情况、项目服务等方面进行评比。根据各供应商综合能力按分数高低推荐3名候选人（如最终参与评审的供应商不足3名，则按综合得分排序推荐同等人数），综合得分最高的作为中选人。</w:t>
      </w:r>
    </w:p>
    <w:p w14:paraId="5C54D4A5">
      <w:pPr>
        <w:pStyle w:val="4"/>
        <w:adjustRightInd w:val="0"/>
        <w:snapToGrid w:val="0"/>
        <w:spacing w:line="560" w:lineRule="exact"/>
        <w:rPr>
          <w:rFonts w:ascii="仿宋_GB2312" w:hAnsi="仿宋_GB2312" w:eastAsia="仿宋_GB2312" w:cs="仿宋_GB2312"/>
          <w:b/>
          <w:bCs/>
          <w:sz w:val="24"/>
        </w:rPr>
      </w:pPr>
      <w:bookmarkStart w:id="94" w:name="_Toc237415672"/>
      <w:bookmarkStart w:id="95" w:name="_Toc23317"/>
      <w:r>
        <w:rPr>
          <w:rFonts w:hint="eastAsia" w:ascii="仿宋_GB2312" w:hAnsi="仿宋_GB2312" w:eastAsia="仿宋_GB2312" w:cs="仿宋_GB2312"/>
          <w:b/>
          <w:bCs/>
          <w:sz w:val="24"/>
        </w:rPr>
        <w:t>27. 初步评审</w:t>
      </w:r>
      <w:bookmarkEnd w:id="94"/>
      <w:bookmarkEnd w:id="95"/>
    </w:p>
    <w:p w14:paraId="3D6EA4F8">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27.1评审委员会按照《初步审查表》内容对参选文件进行资格性检查及符合性检查，只有对《初步审查表》所列各项作出实质性响应的参选文件才能通过初步评审。对是否实质性响应竞磋文件的要求有争议的供应商，评审委员会将以记名方式表决，被认为响应的得票超过半数的供应商有资格进入下一阶段的评审，否则将被淘汰。</w:t>
      </w:r>
    </w:p>
    <w:p w14:paraId="58BB8E91">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27.2评审委员会审查参选文件是否完整、有关资格证明文件是否齐全有效、文件签署是否合格、参选文件的总体编排是否基本有序等。</w:t>
      </w:r>
    </w:p>
    <w:p w14:paraId="2E592DAA">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27.3在综合评比之前，评审委员会要审查每份参选文件是否实质上响应了竞磋文件的要求。实质上响应的参选应该是与竞磋文件要求的关键条款、条件和规格相符合，没有重大偏离或保留的参选。所谓重大偏离或保留是指实质上影响合同的承包范围、质量和性能；或者实质上与竞磋文件不一致，而且限制了合同中采购人的权利或供应商的义务；纠正这些偏离或保留将会对其他实质上响应要求的供应商的竞争地位产生不公正的影响。评审委员会决定参选文件的响应性只根据参选文件本身的内容，而不寻找外部的证据。</w:t>
      </w:r>
    </w:p>
    <w:p w14:paraId="2E399632">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27.4</w:t>
      </w:r>
      <w:r>
        <w:rPr>
          <w:rFonts w:hint="eastAsia" w:ascii="仿宋_GB2312" w:hAnsi="仿宋_GB2312" w:eastAsia="仿宋_GB2312" w:cs="仿宋_GB2312"/>
          <w:sz w:val="24"/>
          <w:lang w:val="en-US" w:eastAsia="zh-CN"/>
        </w:rPr>
        <w:t>评</w:t>
      </w:r>
      <w:r>
        <w:rPr>
          <w:rFonts w:hint="eastAsia" w:ascii="仿宋_GB2312" w:hAnsi="仿宋_GB2312" w:eastAsia="仿宋_GB2312" w:cs="仿宋_GB2312"/>
          <w:sz w:val="24"/>
        </w:rPr>
        <w:t>审委员会审查实质参加供应商数是否超过2家，以决定是否需作采购失败处理。</w:t>
      </w:r>
    </w:p>
    <w:p w14:paraId="7243C1EB">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27.5无效参选的认定。</w:t>
      </w:r>
    </w:p>
    <w:p w14:paraId="2C7358B2">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按《初步审查表》（见附表1）所列各项，参选文件不满足竞磋文件要求的，将被认定为无效参选。</w:t>
      </w:r>
    </w:p>
    <w:p w14:paraId="601E761C">
      <w:pPr>
        <w:pStyle w:val="4"/>
        <w:adjustRightInd w:val="0"/>
        <w:snapToGrid w:val="0"/>
        <w:spacing w:line="560" w:lineRule="exact"/>
        <w:rPr>
          <w:rFonts w:ascii="仿宋_GB2312" w:hAnsi="仿宋_GB2312" w:eastAsia="仿宋_GB2312" w:cs="仿宋_GB2312"/>
          <w:b/>
          <w:bCs/>
          <w:sz w:val="24"/>
        </w:rPr>
      </w:pPr>
      <w:bookmarkStart w:id="96" w:name="_Toc27372"/>
      <w:bookmarkStart w:id="97" w:name="_Toc237415673"/>
      <w:r>
        <w:rPr>
          <w:rFonts w:hint="eastAsia" w:ascii="仿宋_GB2312" w:hAnsi="仿宋_GB2312" w:eastAsia="仿宋_GB2312" w:cs="仿宋_GB2312"/>
          <w:b/>
          <w:bCs/>
          <w:sz w:val="24"/>
        </w:rPr>
        <w:t>28. 邀请供应商现场述标</w:t>
      </w:r>
      <w:bookmarkEnd w:id="96"/>
      <w:bookmarkEnd w:id="97"/>
    </w:p>
    <w:p w14:paraId="0BA5FB06">
      <w:pPr>
        <w:pStyle w:val="13"/>
        <w:spacing w:line="560" w:lineRule="exact"/>
        <w:ind w:right="512" w:firstLine="480" w:firstLineChars="200"/>
        <w:jc w:val="both"/>
        <w:rPr>
          <w:rFonts w:hAnsi="仿宋_GB2312" w:cs="仿宋_GB2312"/>
          <w:szCs w:val="24"/>
        </w:rPr>
      </w:pPr>
      <w:r>
        <w:rPr>
          <w:rFonts w:hint="eastAsia" w:hAnsi="仿宋_GB2312" w:cs="仿宋_GB2312"/>
          <w:szCs w:val="24"/>
        </w:rPr>
        <w:t>通过初步评审的供应商按确定的顺序进行汇报。</w:t>
      </w:r>
    </w:p>
    <w:p w14:paraId="799BC967">
      <w:pPr>
        <w:pStyle w:val="4"/>
        <w:adjustRightInd w:val="0"/>
        <w:snapToGrid w:val="0"/>
        <w:spacing w:line="560" w:lineRule="exact"/>
        <w:rPr>
          <w:rFonts w:ascii="仿宋_GB2312" w:hAnsi="仿宋_GB2312" w:eastAsia="仿宋_GB2312" w:cs="仿宋_GB2312"/>
          <w:b/>
          <w:bCs/>
          <w:sz w:val="24"/>
        </w:rPr>
      </w:pPr>
      <w:bookmarkStart w:id="98" w:name="_Toc9142"/>
      <w:bookmarkStart w:id="99" w:name="_Toc237415674"/>
      <w:r>
        <w:rPr>
          <w:rFonts w:hint="eastAsia" w:ascii="仿宋_GB2312" w:hAnsi="仿宋_GB2312" w:eastAsia="仿宋_GB2312" w:cs="仿宋_GB2312"/>
          <w:b/>
          <w:bCs/>
          <w:sz w:val="24"/>
        </w:rPr>
        <w:t>29. 综合评比</w:t>
      </w:r>
      <w:bookmarkEnd w:id="98"/>
      <w:bookmarkEnd w:id="99"/>
    </w:p>
    <w:p w14:paraId="688A6568">
      <w:pPr>
        <w:adjustRightInd w:val="0"/>
        <w:snapToGrid w:val="0"/>
        <w:spacing w:line="560" w:lineRule="exact"/>
        <w:ind w:firstLine="470" w:firstLineChars="196"/>
        <w:rPr>
          <w:rFonts w:ascii="仿宋_GB2312" w:hAnsi="仿宋_GB2312" w:eastAsia="仿宋_GB2312" w:cs="仿宋_GB2312"/>
          <w:sz w:val="24"/>
        </w:rPr>
      </w:pPr>
      <w:r>
        <w:rPr>
          <w:rFonts w:hint="eastAsia" w:ascii="仿宋_GB2312" w:hAnsi="仿宋_GB2312" w:eastAsia="仿宋_GB2312" w:cs="仿宋_GB2312"/>
          <w:sz w:val="24"/>
        </w:rPr>
        <w:t>综合评比是对通过初步评审的参选文件进行详细的综合评审。</w:t>
      </w:r>
    </w:p>
    <w:p w14:paraId="206143B0">
      <w:pPr>
        <w:pStyle w:val="4"/>
        <w:adjustRightInd w:val="0"/>
        <w:snapToGrid w:val="0"/>
        <w:spacing w:line="560" w:lineRule="exact"/>
        <w:rPr>
          <w:rFonts w:ascii="仿宋_GB2312" w:hAnsi="仿宋_GB2312" w:eastAsia="仿宋_GB2312" w:cs="仿宋_GB2312"/>
          <w:b/>
          <w:bCs/>
          <w:sz w:val="24"/>
        </w:rPr>
      </w:pPr>
      <w:bookmarkStart w:id="100" w:name="_Toc237415675"/>
      <w:bookmarkStart w:id="101" w:name="_Toc734"/>
      <w:r>
        <w:rPr>
          <w:rFonts w:hint="eastAsia" w:ascii="仿宋_GB2312" w:hAnsi="仿宋_GB2312" w:eastAsia="仿宋_GB2312" w:cs="仿宋_GB2312"/>
          <w:b/>
          <w:bCs/>
          <w:sz w:val="24"/>
        </w:rPr>
        <w:t>30. 中选人</w:t>
      </w:r>
      <w:bookmarkEnd w:id="100"/>
      <w:bookmarkEnd w:id="101"/>
    </w:p>
    <w:p w14:paraId="4E6E88E9">
      <w:pPr>
        <w:adjustRightInd w:val="0"/>
        <w:snapToGrid w:val="0"/>
        <w:spacing w:line="560" w:lineRule="exact"/>
        <w:ind w:firstLine="470" w:firstLineChars="196"/>
        <w:rPr>
          <w:rFonts w:hint="eastAsia" w:ascii="黑体" w:hAnsi="黑体" w:eastAsia="黑体" w:cs="黑体"/>
          <w:sz w:val="24"/>
          <w:szCs w:val="28"/>
        </w:rPr>
      </w:pPr>
      <w:r>
        <w:rPr>
          <w:rFonts w:hint="eastAsia" w:ascii="仿宋_GB2312" w:hAnsi="仿宋_GB2312" w:eastAsia="仿宋_GB2312" w:cs="仿宋_GB2312"/>
          <w:sz w:val="24"/>
        </w:rPr>
        <w:t>评审委员会通过计算综合得分，推荐得分最高的供应商为中选人。</w:t>
      </w:r>
      <w:r>
        <w:rPr>
          <w:rFonts w:hint="eastAsia" w:ascii="仿宋_GB2312" w:hAnsi="仿宋_GB2312" w:eastAsia="仿宋_GB2312" w:cs="仿宋_GB2312"/>
          <w:sz w:val="24"/>
        </w:rPr>
        <w:br w:type="page"/>
      </w:r>
      <w:r>
        <w:rPr>
          <w:rFonts w:hint="eastAsia" w:ascii="黑体" w:hAnsi="黑体" w:eastAsia="黑体" w:cs="黑体"/>
          <w:sz w:val="24"/>
          <w:szCs w:val="28"/>
        </w:rPr>
        <w:t>附表1</w:t>
      </w:r>
    </w:p>
    <w:p w14:paraId="0187218C">
      <w:pPr>
        <w:pStyle w:val="13"/>
        <w:spacing w:line="560" w:lineRule="exact"/>
        <w:ind w:right="512"/>
        <w:rPr>
          <w:rFonts w:hint="eastAsia"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 xml:space="preserve"> 初步审查表</w:t>
      </w:r>
    </w:p>
    <w:p w14:paraId="381EB59A">
      <w:pPr>
        <w:tabs>
          <w:tab w:val="left" w:pos="2084"/>
        </w:tabs>
        <w:adjustRightInd w:val="0"/>
        <w:snapToGrid w:val="0"/>
        <w:spacing w:line="560" w:lineRule="exact"/>
        <w:jc w:val="left"/>
      </w:pPr>
      <w:r>
        <w:rPr>
          <w:rFonts w:hint="eastAsia" w:ascii="仿宋_GB2312" w:hAnsi="仿宋_GB2312" w:eastAsia="仿宋_GB2312" w:cs="仿宋_GB2312"/>
          <w:kern w:val="0"/>
          <w:sz w:val="24"/>
          <w:szCs w:val="22"/>
        </w:rPr>
        <w:t>项目名称：南方医科大学中西医结合医院308nm紫外线光疗仪设备采购项目</w:t>
      </w:r>
    </w:p>
    <w:tbl>
      <w:tblPr>
        <w:tblStyle w:val="32"/>
        <w:tblW w:w="5000"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59"/>
        <w:gridCol w:w="833"/>
        <w:gridCol w:w="1102"/>
        <w:gridCol w:w="1104"/>
        <w:gridCol w:w="965"/>
        <w:gridCol w:w="1104"/>
        <w:gridCol w:w="1104"/>
        <w:gridCol w:w="965"/>
        <w:gridCol w:w="1488"/>
      </w:tblGrid>
      <w:tr w14:paraId="4A648E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2" w:hRule="atLeast"/>
        </w:trPr>
        <w:tc>
          <w:tcPr>
            <w:tcW w:w="353" w:type="pct"/>
            <w:tcBorders>
              <w:top w:val="single" w:color="auto" w:sz="4" w:space="0"/>
              <w:left w:val="single" w:color="auto" w:sz="4" w:space="0"/>
              <w:bottom w:val="single" w:color="auto" w:sz="4" w:space="0"/>
              <w:right w:val="single" w:color="auto" w:sz="4" w:space="0"/>
            </w:tcBorders>
            <w:vAlign w:val="center"/>
          </w:tcPr>
          <w:p w14:paraId="0D29A233">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序号</w:t>
            </w:r>
          </w:p>
        </w:tc>
        <w:tc>
          <w:tcPr>
            <w:tcW w:w="446" w:type="pct"/>
            <w:tcBorders>
              <w:top w:val="single" w:color="auto" w:sz="4" w:space="0"/>
              <w:left w:val="single" w:color="auto" w:sz="4" w:space="0"/>
              <w:bottom w:val="single" w:color="auto" w:sz="4" w:space="0"/>
              <w:right w:val="single" w:color="auto" w:sz="4" w:space="0"/>
            </w:tcBorders>
            <w:vAlign w:val="center"/>
          </w:tcPr>
          <w:p w14:paraId="114047E3">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供应商</w:t>
            </w:r>
          </w:p>
        </w:tc>
        <w:tc>
          <w:tcPr>
            <w:tcW w:w="590" w:type="pct"/>
            <w:tcBorders>
              <w:top w:val="single" w:color="auto" w:sz="4" w:space="0"/>
              <w:left w:val="single" w:color="auto" w:sz="4" w:space="0"/>
              <w:bottom w:val="single" w:color="auto" w:sz="4" w:space="0"/>
              <w:right w:val="single" w:color="auto" w:sz="4" w:space="0"/>
            </w:tcBorders>
            <w:vAlign w:val="center"/>
          </w:tcPr>
          <w:p w14:paraId="6A127C45">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供应商资格</w:t>
            </w:r>
          </w:p>
          <w:p w14:paraId="623654BB">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要求合格</w:t>
            </w:r>
          </w:p>
        </w:tc>
        <w:tc>
          <w:tcPr>
            <w:tcW w:w="591" w:type="pct"/>
            <w:tcBorders>
              <w:top w:val="single" w:color="auto" w:sz="4" w:space="0"/>
              <w:left w:val="single" w:color="auto" w:sz="4" w:space="0"/>
              <w:bottom w:val="single" w:color="auto" w:sz="4" w:space="0"/>
              <w:right w:val="single" w:color="auto" w:sz="4" w:space="0"/>
            </w:tcBorders>
            <w:vAlign w:val="center"/>
          </w:tcPr>
          <w:p w14:paraId="595D78D4">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参选文件主</w:t>
            </w:r>
          </w:p>
          <w:p w14:paraId="71F13042">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要资料齐全</w:t>
            </w:r>
          </w:p>
        </w:tc>
        <w:tc>
          <w:tcPr>
            <w:tcW w:w="517" w:type="pct"/>
            <w:tcBorders>
              <w:top w:val="single" w:color="auto" w:sz="4" w:space="0"/>
              <w:left w:val="single" w:color="auto" w:sz="4" w:space="0"/>
              <w:bottom w:val="single" w:color="auto" w:sz="4" w:space="0"/>
              <w:right w:val="single" w:color="auto" w:sz="4" w:space="0"/>
            </w:tcBorders>
            <w:vAlign w:val="center"/>
          </w:tcPr>
          <w:p w14:paraId="4CD54C9C">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参选文件</w:t>
            </w:r>
          </w:p>
          <w:p w14:paraId="2DE8E799">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签署合格</w:t>
            </w:r>
          </w:p>
        </w:tc>
        <w:tc>
          <w:tcPr>
            <w:tcW w:w="591" w:type="pct"/>
            <w:tcBorders>
              <w:top w:val="single" w:color="auto" w:sz="4" w:space="0"/>
              <w:left w:val="single" w:color="auto" w:sz="4" w:space="0"/>
              <w:bottom w:val="single" w:color="auto" w:sz="4" w:space="0"/>
              <w:right w:val="single" w:color="auto" w:sz="4" w:space="0"/>
            </w:tcBorders>
            <w:vAlign w:val="center"/>
          </w:tcPr>
          <w:p w14:paraId="5B0993C6">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参选文件无</w:t>
            </w:r>
          </w:p>
          <w:p w14:paraId="1976FFCE">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重大不合理</w:t>
            </w:r>
          </w:p>
        </w:tc>
        <w:tc>
          <w:tcPr>
            <w:tcW w:w="591" w:type="pct"/>
            <w:tcBorders>
              <w:top w:val="single" w:color="auto" w:sz="4" w:space="0"/>
              <w:left w:val="single" w:color="auto" w:sz="4" w:space="0"/>
              <w:bottom w:val="single" w:color="auto" w:sz="4" w:space="0"/>
              <w:right w:val="single" w:color="auto" w:sz="4" w:space="0"/>
            </w:tcBorders>
            <w:vAlign w:val="center"/>
          </w:tcPr>
          <w:p w14:paraId="05403265">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实质性响应采购文件</w:t>
            </w:r>
          </w:p>
        </w:tc>
        <w:tc>
          <w:tcPr>
            <w:tcW w:w="517" w:type="pct"/>
            <w:tcBorders>
              <w:top w:val="single" w:color="auto" w:sz="4" w:space="0"/>
              <w:left w:val="single" w:color="auto" w:sz="4" w:space="0"/>
              <w:bottom w:val="single" w:color="auto" w:sz="4" w:space="0"/>
              <w:right w:val="single" w:color="auto" w:sz="4" w:space="0"/>
            </w:tcBorders>
            <w:vAlign w:val="center"/>
          </w:tcPr>
          <w:p w14:paraId="0AD9F4C8">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评审结论</w:t>
            </w:r>
          </w:p>
        </w:tc>
        <w:tc>
          <w:tcPr>
            <w:tcW w:w="797" w:type="pct"/>
            <w:tcBorders>
              <w:top w:val="single" w:color="auto" w:sz="4" w:space="0"/>
              <w:left w:val="single" w:color="auto" w:sz="4" w:space="0"/>
              <w:bottom w:val="single" w:color="auto" w:sz="4" w:space="0"/>
              <w:right w:val="single" w:color="auto" w:sz="4" w:space="0"/>
            </w:tcBorders>
            <w:vAlign w:val="center"/>
          </w:tcPr>
          <w:p w14:paraId="669056F3">
            <w:pPr>
              <w:adjustRightInd w:val="0"/>
              <w:snapToGrid w:val="0"/>
              <w:spacing w:line="240" w:lineRule="atLeas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备注</w:t>
            </w:r>
          </w:p>
        </w:tc>
      </w:tr>
      <w:tr w14:paraId="3B40303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 w:hRule="atLeast"/>
        </w:trPr>
        <w:tc>
          <w:tcPr>
            <w:tcW w:w="353" w:type="pct"/>
            <w:tcBorders>
              <w:top w:val="single" w:color="auto" w:sz="4" w:space="0"/>
              <w:left w:val="single" w:color="auto" w:sz="4" w:space="0"/>
              <w:bottom w:val="single" w:color="auto" w:sz="4" w:space="0"/>
              <w:right w:val="single" w:color="auto" w:sz="4" w:space="0"/>
            </w:tcBorders>
          </w:tcPr>
          <w:p w14:paraId="0EB2359F">
            <w:pPr>
              <w:adjustRightInd w:val="0"/>
              <w:snapToGrid w:val="0"/>
              <w:spacing w:line="56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w:t>
            </w:r>
          </w:p>
        </w:tc>
        <w:tc>
          <w:tcPr>
            <w:tcW w:w="446" w:type="pct"/>
            <w:tcBorders>
              <w:top w:val="single" w:color="auto" w:sz="4" w:space="0"/>
              <w:left w:val="single" w:color="auto" w:sz="4" w:space="0"/>
              <w:bottom w:val="single" w:color="auto" w:sz="4" w:space="0"/>
              <w:right w:val="single" w:color="auto" w:sz="4" w:space="0"/>
            </w:tcBorders>
          </w:tcPr>
          <w:p w14:paraId="65BFDEB7">
            <w:pPr>
              <w:adjustRightInd w:val="0"/>
              <w:snapToGrid w:val="0"/>
              <w:spacing w:line="560" w:lineRule="exact"/>
              <w:jc w:val="center"/>
              <w:rPr>
                <w:rFonts w:ascii="仿宋_GB2312" w:hAnsi="仿宋_GB2312" w:eastAsia="仿宋_GB2312" w:cs="仿宋_GB2312"/>
                <w:b/>
                <w:bCs/>
                <w:sz w:val="18"/>
                <w:szCs w:val="18"/>
              </w:rPr>
            </w:pPr>
          </w:p>
        </w:tc>
        <w:tc>
          <w:tcPr>
            <w:tcW w:w="590" w:type="pct"/>
            <w:tcBorders>
              <w:top w:val="single" w:color="auto" w:sz="4" w:space="0"/>
              <w:left w:val="single" w:color="auto" w:sz="4" w:space="0"/>
              <w:bottom w:val="single" w:color="auto" w:sz="4" w:space="0"/>
              <w:right w:val="single" w:color="auto" w:sz="4" w:space="0"/>
            </w:tcBorders>
          </w:tcPr>
          <w:p w14:paraId="0CCFF70A">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2144E4F8">
            <w:pPr>
              <w:adjustRightInd w:val="0"/>
              <w:snapToGrid w:val="0"/>
              <w:spacing w:line="560" w:lineRule="exact"/>
              <w:jc w:val="center"/>
              <w:rPr>
                <w:rFonts w:ascii="仿宋_GB2312" w:hAnsi="仿宋_GB2312" w:eastAsia="仿宋_GB2312" w:cs="仿宋_GB2312"/>
                <w:b/>
                <w:bCs/>
                <w:sz w:val="18"/>
                <w:szCs w:val="18"/>
              </w:rPr>
            </w:pPr>
          </w:p>
        </w:tc>
        <w:tc>
          <w:tcPr>
            <w:tcW w:w="517" w:type="pct"/>
            <w:tcBorders>
              <w:top w:val="single" w:color="auto" w:sz="4" w:space="0"/>
              <w:left w:val="single" w:color="auto" w:sz="4" w:space="0"/>
              <w:bottom w:val="single" w:color="auto" w:sz="4" w:space="0"/>
              <w:right w:val="single" w:color="auto" w:sz="4" w:space="0"/>
            </w:tcBorders>
          </w:tcPr>
          <w:p w14:paraId="6B10C99F">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7E13B632">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5541897C">
            <w:pPr>
              <w:adjustRightInd w:val="0"/>
              <w:snapToGrid w:val="0"/>
              <w:spacing w:line="560" w:lineRule="exact"/>
              <w:jc w:val="center"/>
              <w:rPr>
                <w:rFonts w:ascii="仿宋_GB2312" w:hAnsi="仿宋_GB2312" w:eastAsia="仿宋_GB2312" w:cs="仿宋_GB2312"/>
                <w:b/>
                <w:bCs/>
                <w:sz w:val="18"/>
                <w:szCs w:val="18"/>
              </w:rPr>
            </w:pPr>
          </w:p>
        </w:tc>
        <w:tc>
          <w:tcPr>
            <w:tcW w:w="517" w:type="pct"/>
            <w:tcBorders>
              <w:top w:val="single" w:color="auto" w:sz="4" w:space="0"/>
              <w:left w:val="single" w:color="auto" w:sz="4" w:space="0"/>
              <w:bottom w:val="single" w:color="auto" w:sz="4" w:space="0"/>
              <w:right w:val="single" w:color="auto" w:sz="4" w:space="0"/>
            </w:tcBorders>
          </w:tcPr>
          <w:p w14:paraId="4E44347C">
            <w:pPr>
              <w:adjustRightInd w:val="0"/>
              <w:snapToGrid w:val="0"/>
              <w:spacing w:line="560" w:lineRule="exact"/>
              <w:jc w:val="center"/>
              <w:rPr>
                <w:rFonts w:ascii="仿宋_GB2312" w:hAnsi="仿宋_GB2312" w:eastAsia="仿宋_GB2312" w:cs="仿宋_GB2312"/>
                <w:b/>
                <w:bCs/>
                <w:sz w:val="18"/>
                <w:szCs w:val="18"/>
              </w:rPr>
            </w:pPr>
          </w:p>
        </w:tc>
        <w:tc>
          <w:tcPr>
            <w:tcW w:w="797" w:type="pct"/>
            <w:tcBorders>
              <w:top w:val="single" w:color="auto" w:sz="4" w:space="0"/>
              <w:left w:val="single" w:color="auto" w:sz="4" w:space="0"/>
              <w:bottom w:val="single" w:color="auto" w:sz="4" w:space="0"/>
              <w:right w:val="single" w:color="auto" w:sz="4" w:space="0"/>
            </w:tcBorders>
          </w:tcPr>
          <w:p w14:paraId="299E5C1B">
            <w:pPr>
              <w:adjustRightInd w:val="0"/>
              <w:snapToGrid w:val="0"/>
              <w:spacing w:line="560" w:lineRule="exact"/>
              <w:jc w:val="center"/>
              <w:rPr>
                <w:rFonts w:ascii="仿宋_GB2312" w:hAnsi="仿宋_GB2312" w:eastAsia="仿宋_GB2312" w:cs="仿宋_GB2312"/>
                <w:b/>
                <w:bCs/>
                <w:sz w:val="18"/>
                <w:szCs w:val="18"/>
              </w:rPr>
            </w:pPr>
          </w:p>
        </w:tc>
      </w:tr>
      <w:tr w14:paraId="0233034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04" w:hRule="atLeast"/>
        </w:trPr>
        <w:tc>
          <w:tcPr>
            <w:tcW w:w="353" w:type="pct"/>
            <w:tcBorders>
              <w:top w:val="single" w:color="auto" w:sz="4" w:space="0"/>
              <w:left w:val="single" w:color="auto" w:sz="4" w:space="0"/>
              <w:bottom w:val="single" w:color="auto" w:sz="4" w:space="0"/>
              <w:right w:val="single" w:color="auto" w:sz="4" w:space="0"/>
            </w:tcBorders>
          </w:tcPr>
          <w:p w14:paraId="288718A8">
            <w:pPr>
              <w:adjustRightInd w:val="0"/>
              <w:snapToGrid w:val="0"/>
              <w:spacing w:line="56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446" w:type="pct"/>
            <w:tcBorders>
              <w:top w:val="single" w:color="auto" w:sz="4" w:space="0"/>
              <w:left w:val="single" w:color="auto" w:sz="4" w:space="0"/>
              <w:bottom w:val="single" w:color="auto" w:sz="4" w:space="0"/>
              <w:right w:val="single" w:color="auto" w:sz="4" w:space="0"/>
            </w:tcBorders>
          </w:tcPr>
          <w:p w14:paraId="61C9BAF9">
            <w:pPr>
              <w:adjustRightInd w:val="0"/>
              <w:snapToGrid w:val="0"/>
              <w:spacing w:line="560" w:lineRule="exact"/>
              <w:jc w:val="center"/>
              <w:rPr>
                <w:rFonts w:ascii="仿宋_GB2312" w:hAnsi="仿宋_GB2312" w:eastAsia="仿宋_GB2312" w:cs="仿宋_GB2312"/>
                <w:b/>
                <w:bCs/>
                <w:sz w:val="18"/>
                <w:szCs w:val="18"/>
              </w:rPr>
            </w:pPr>
          </w:p>
        </w:tc>
        <w:tc>
          <w:tcPr>
            <w:tcW w:w="590" w:type="pct"/>
            <w:tcBorders>
              <w:top w:val="single" w:color="auto" w:sz="4" w:space="0"/>
              <w:left w:val="single" w:color="auto" w:sz="4" w:space="0"/>
              <w:bottom w:val="single" w:color="auto" w:sz="4" w:space="0"/>
              <w:right w:val="single" w:color="auto" w:sz="4" w:space="0"/>
            </w:tcBorders>
          </w:tcPr>
          <w:p w14:paraId="1316C969">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6C398AA6">
            <w:pPr>
              <w:adjustRightInd w:val="0"/>
              <w:snapToGrid w:val="0"/>
              <w:spacing w:line="560" w:lineRule="exact"/>
              <w:jc w:val="center"/>
              <w:rPr>
                <w:rFonts w:ascii="仿宋_GB2312" w:hAnsi="仿宋_GB2312" w:eastAsia="仿宋_GB2312" w:cs="仿宋_GB2312"/>
                <w:b/>
                <w:bCs/>
                <w:sz w:val="18"/>
                <w:szCs w:val="18"/>
              </w:rPr>
            </w:pPr>
          </w:p>
        </w:tc>
        <w:tc>
          <w:tcPr>
            <w:tcW w:w="517" w:type="pct"/>
            <w:tcBorders>
              <w:top w:val="single" w:color="auto" w:sz="4" w:space="0"/>
              <w:left w:val="single" w:color="auto" w:sz="4" w:space="0"/>
              <w:bottom w:val="single" w:color="auto" w:sz="4" w:space="0"/>
              <w:right w:val="single" w:color="auto" w:sz="4" w:space="0"/>
            </w:tcBorders>
          </w:tcPr>
          <w:p w14:paraId="7688E369">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7C891C91">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3319D665">
            <w:pPr>
              <w:adjustRightInd w:val="0"/>
              <w:snapToGrid w:val="0"/>
              <w:spacing w:line="560" w:lineRule="exact"/>
              <w:jc w:val="center"/>
              <w:rPr>
                <w:rFonts w:ascii="仿宋_GB2312" w:hAnsi="仿宋_GB2312" w:eastAsia="仿宋_GB2312" w:cs="仿宋_GB2312"/>
                <w:b/>
                <w:bCs/>
                <w:sz w:val="18"/>
                <w:szCs w:val="18"/>
              </w:rPr>
            </w:pPr>
          </w:p>
        </w:tc>
        <w:tc>
          <w:tcPr>
            <w:tcW w:w="517" w:type="pct"/>
            <w:tcBorders>
              <w:top w:val="single" w:color="auto" w:sz="4" w:space="0"/>
              <w:left w:val="single" w:color="auto" w:sz="4" w:space="0"/>
              <w:bottom w:val="single" w:color="auto" w:sz="4" w:space="0"/>
              <w:right w:val="single" w:color="auto" w:sz="4" w:space="0"/>
            </w:tcBorders>
          </w:tcPr>
          <w:p w14:paraId="0142B3F1">
            <w:pPr>
              <w:adjustRightInd w:val="0"/>
              <w:snapToGrid w:val="0"/>
              <w:spacing w:line="560" w:lineRule="exact"/>
              <w:jc w:val="center"/>
              <w:rPr>
                <w:rFonts w:ascii="仿宋_GB2312" w:hAnsi="仿宋_GB2312" w:eastAsia="仿宋_GB2312" w:cs="仿宋_GB2312"/>
                <w:b/>
                <w:bCs/>
                <w:sz w:val="18"/>
                <w:szCs w:val="18"/>
              </w:rPr>
            </w:pPr>
          </w:p>
        </w:tc>
        <w:tc>
          <w:tcPr>
            <w:tcW w:w="797" w:type="pct"/>
            <w:tcBorders>
              <w:top w:val="single" w:color="auto" w:sz="4" w:space="0"/>
              <w:left w:val="single" w:color="auto" w:sz="4" w:space="0"/>
              <w:bottom w:val="single" w:color="auto" w:sz="4" w:space="0"/>
              <w:right w:val="single" w:color="auto" w:sz="4" w:space="0"/>
            </w:tcBorders>
          </w:tcPr>
          <w:p w14:paraId="76FDD075">
            <w:pPr>
              <w:adjustRightInd w:val="0"/>
              <w:snapToGrid w:val="0"/>
              <w:spacing w:line="560" w:lineRule="exact"/>
              <w:jc w:val="center"/>
              <w:rPr>
                <w:rFonts w:ascii="仿宋_GB2312" w:hAnsi="仿宋_GB2312" w:eastAsia="仿宋_GB2312" w:cs="仿宋_GB2312"/>
                <w:b/>
                <w:bCs/>
                <w:sz w:val="18"/>
                <w:szCs w:val="18"/>
              </w:rPr>
            </w:pPr>
          </w:p>
        </w:tc>
      </w:tr>
      <w:tr w14:paraId="1604CDE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353" w:type="pct"/>
            <w:tcBorders>
              <w:top w:val="single" w:color="auto" w:sz="4" w:space="0"/>
              <w:left w:val="single" w:color="auto" w:sz="4" w:space="0"/>
              <w:bottom w:val="single" w:color="auto" w:sz="4" w:space="0"/>
              <w:right w:val="single" w:color="auto" w:sz="4" w:space="0"/>
            </w:tcBorders>
          </w:tcPr>
          <w:p w14:paraId="7A119A06">
            <w:pPr>
              <w:adjustRightInd w:val="0"/>
              <w:snapToGrid w:val="0"/>
              <w:spacing w:line="56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3</w:t>
            </w:r>
          </w:p>
        </w:tc>
        <w:tc>
          <w:tcPr>
            <w:tcW w:w="446" w:type="pct"/>
            <w:tcBorders>
              <w:top w:val="single" w:color="auto" w:sz="4" w:space="0"/>
              <w:left w:val="single" w:color="auto" w:sz="4" w:space="0"/>
              <w:bottom w:val="single" w:color="auto" w:sz="4" w:space="0"/>
              <w:right w:val="single" w:color="auto" w:sz="4" w:space="0"/>
            </w:tcBorders>
          </w:tcPr>
          <w:p w14:paraId="104ED338">
            <w:pPr>
              <w:adjustRightInd w:val="0"/>
              <w:snapToGrid w:val="0"/>
              <w:spacing w:line="560" w:lineRule="exact"/>
              <w:jc w:val="center"/>
              <w:rPr>
                <w:rFonts w:ascii="仿宋_GB2312" w:hAnsi="仿宋_GB2312" w:eastAsia="仿宋_GB2312" w:cs="仿宋_GB2312"/>
                <w:b/>
                <w:bCs/>
                <w:sz w:val="18"/>
                <w:szCs w:val="18"/>
              </w:rPr>
            </w:pPr>
          </w:p>
        </w:tc>
        <w:tc>
          <w:tcPr>
            <w:tcW w:w="590" w:type="pct"/>
            <w:tcBorders>
              <w:top w:val="single" w:color="auto" w:sz="4" w:space="0"/>
              <w:left w:val="single" w:color="auto" w:sz="4" w:space="0"/>
              <w:bottom w:val="single" w:color="auto" w:sz="4" w:space="0"/>
              <w:right w:val="single" w:color="auto" w:sz="4" w:space="0"/>
            </w:tcBorders>
          </w:tcPr>
          <w:p w14:paraId="3B09B947">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7F159987">
            <w:pPr>
              <w:adjustRightInd w:val="0"/>
              <w:snapToGrid w:val="0"/>
              <w:spacing w:line="560" w:lineRule="exact"/>
              <w:jc w:val="center"/>
              <w:rPr>
                <w:rFonts w:ascii="仿宋_GB2312" w:hAnsi="仿宋_GB2312" w:eastAsia="仿宋_GB2312" w:cs="仿宋_GB2312"/>
                <w:b/>
                <w:bCs/>
                <w:sz w:val="18"/>
                <w:szCs w:val="18"/>
              </w:rPr>
            </w:pPr>
          </w:p>
        </w:tc>
        <w:tc>
          <w:tcPr>
            <w:tcW w:w="517" w:type="pct"/>
            <w:tcBorders>
              <w:top w:val="single" w:color="auto" w:sz="4" w:space="0"/>
              <w:left w:val="single" w:color="auto" w:sz="4" w:space="0"/>
              <w:bottom w:val="single" w:color="auto" w:sz="4" w:space="0"/>
              <w:right w:val="single" w:color="auto" w:sz="4" w:space="0"/>
            </w:tcBorders>
          </w:tcPr>
          <w:p w14:paraId="7AAFCDD8">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4578D6C6">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47D434C8">
            <w:pPr>
              <w:adjustRightInd w:val="0"/>
              <w:snapToGrid w:val="0"/>
              <w:spacing w:line="560" w:lineRule="exact"/>
              <w:jc w:val="center"/>
              <w:rPr>
                <w:rFonts w:ascii="仿宋_GB2312" w:hAnsi="仿宋_GB2312" w:eastAsia="仿宋_GB2312" w:cs="仿宋_GB2312"/>
                <w:b/>
                <w:bCs/>
                <w:sz w:val="18"/>
                <w:szCs w:val="18"/>
              </w:rPr>
            </w:pPr>
          </w:p>
        </w:tc>
        <w:tc>
          <w:tcPr>
            <w:tcW w:w="517" w:type="pct"/>
            <w:tcBorders>
              <w:top w:val="single" w:color="auto" w:sz="4" w:space="0"/>
              <w:left w:val="single" w:color="auto" w:sz="4" w:space="0"/>
              <w:bottom w:val="single" w:color="auto" w:sz="4" w:space="0"/>
              <w:right w:val="single" w:color="auto" w:sz="4" w:space="0"/>
            </w:tcBorders>
          </w:tcPr>
          <w:p w14:paraId="32F9C81B">
            <w:pPr>
              <w:adjustRightInd w:val="0"/>
              <w:snapToGrid w:val="0"/>
              <w:spacing w:line="560" w:lineRule="exact"/>
              <w:jc w:val="center"/>
              <w:rPr>
                <w:rFonts w:ascii="仿宋_GB2312" w:hAnsi="仿宋_GB2312" w:eastAsia="仿宋_GB2312" w:cs="仿宋_GB2312"/>
                <w:b/>
                <w:bCs/>
                <w:sz w:val="18"/>
                <w:szCs w:val="18"/>
              </w:rPr>
            </w:pPr>
          </w:p>
        </w:tc>
        <w:tc>
          <w:tcPr>
            <w:tcW w:w="797" w:type="pct"/>
            <w:tcBorders>
              <w:top w:val="single" w:color="auto" w:sz="4" w:space="0"/>
              <w:left w:val="single" w:color="auto" w:sz="4" w:space="0"/>
              <w:bottom w:val="single" w:color="auto" w:sz="4" w:space="0"/>
              <w:right w:val="single" w:color="auto" w:sz="4" w:space="0"/>
            </w:tcBorders>
          </w:tcPr>
          <w:p w14:paraId="337E796B">
            <w:pPr>
              <w:adjustRightInd w:val="0"/>
              <w:snapToGrid w:val="0"/>
              <w:spacing w:line="560" w:lineRule="exact"/>
              <w:jc w:val="center"/>
              <w:rPr>
                <w:rFonts w:ascii="仿宋_GB2312" w:hAnsi="仿宋_GB2312" w:eastAsia="仿宋_GB2312" w:cs="仿宋_GB2312"/>
                <w:b/>
                <w:bCs/>
                <w:sz w:val="18"/>
                <w:szCs w:val="18"/>
              </w:rPr>
            </w:pPr>
          </w:p>
        </w:tc>
      </w:tr>
      <w:tr w14:paraId="1C2AFA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 w:hRule="atLeast"/>
        </w:trPr>
        <w:tc>
          <w:tcPr>
            <w:tcW w:w="353" w:type="pct"/>
            <w:tcBorders>
              <w:top w:val="single" w:color="auto" w:sz="4" w:space="0"/>
              <w:left w:val="single" w:color="auto" w:sz="4" w:space="0"/>
              <w:bottom w:val="single" w:color="auto" w:sz="4" w:space="0"/>
              <w:right w:val="single" w:color="auto" w:sz="4" w:space="0"/>
            </w:tcBorders>
          </w:tcPr>
          <w:p w14:paraId="515BA3BB">
            <w:pPr>
              <w:adjustRightInd w:val="0"/>
              <w:snapToGrid w:val="0"/>
              <w:spacing w:line="56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4</w:t>
            </w:r>
          </w:p>
        </w:tc>
        <w:tc>
          <w:tcPr>
            <w:tcW w:w="446" w:type="pct"/>
            <w:tcBorders>
              <w:top w:val="single" w:color="auto" w:sz="4" w:space="0"/>
              <w:left w:val="single" w:color="auto" w:sz="4" w:space="0"/>
              <w:bottom w:val="single" w:color="auto" w:sz="4" w:space="0"/>
              <w:right w:val="single" w:color="auto" w:sz="4" w:space="0"/>
            </w:tcBorders>
          </w:tcPr>
          <w:p w14:paraId="43A51918">
            <w:pPr>
              <w:adjustRightInd w:val="0"/>
              <w:snapToGrid w:val="0"/>
              <w:spacing w:line="560" w:lineRule="exact"/>
              <w:jc w:val="center"/>
              <w:rPr>
                <w:rFonts w:ascii="仿宋_GB2312" w:hAnsi="仿宋_GB2312" w:eastAsia="仿宋_GB2312" w:cs="仿宋_GB2312"/>
                <w:b/>
                <w:bCs/>
                <w:sz w:val="18"/>
                <w:szCs w:val="18"/>
              </w:rPr>
            </w:pPr>
          </w:p>
        </w:tc>
        <w:tc>
          <w:tcPr>
            <w:tcW w:w="590" w:type="pct"/>
            <w:tcBorders>
              <w:top w:val="single" w:color="auto" w:sz="4" w:space="0"/>
              <w:left w:val="single" w:color="auto" w:sz="4" w:space="0"/>
              <w:bottom w:val="single" w:color="auto" w:sz="4" w:space="0"/>
              <w:right w:val="single" w:color="auto" w:sz="4" w:space="0"/>
            </w:tcBorders>
          </w:tcPr>
          <w:p w14:paraId="2FC09798">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0A846EF3">
            <w:pPr>
              <w:adjustRightInd w:val="0"/>
              <w:snapToGrid w:val="0"/>
              <w:spacing w:line="560" w:lineRule="exact"/>
              <w:jc w:val="center"/>
              <w:rPr>
                <w:rFonts w:ascii="仿宋_GB2312" w:hAnsi="仿宋_GB2312" w:eastAsia="仿宋_GB2312" w:cs="仿宋_GB2312"/>
                <w:b/>
                <w:bCs/>
                <w:sz w:val="18"/>
                <w:szCs w:val="18"/>
              </w:rPr>
            </w:pPr>
          </w:p>
        </w:tc>
        <w:tc>
          <w:tcPr>
            <w:tcW w:w="517" w:type="pct"/>
            <w:tcBorders>
              <w:top w:val="single" w:color="auto" w:sz="4" w:space="0"/>
              <w:left w:val="single" w:color="auto" w:sz="4" w:space="0"/>
              <w:bottom w:val="single" w:color="auto" w:sz="4" w:space="0"/>
              <w:right w:val="single" w:color="auto" w:sz="4" w:space="0"/>
            </w:tcBorders>
          </w:tcPr>
          <w:p w14:paraId="15A113C2">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5F7FA4C9">
            <w:pPr>
              <w:adjustRightInd w:val="0"/>
              <w:snapToGrid w:val="0"/>
              <w:spacing w:line="560" w:lineRule="exact"/>
              <w:jc w:val="center"/>
              <w:rPr>
                <w:rFonts w:ascii="仿宋_GB2312" w:hAnsi="仿宋_GB2312" w:eastAsia="仿宋_GB2312" w:cs="仿宋_GB2312"/>
                <w:b/>
                <w:bCs/>
                <w:sz w:val="18"/>
                <w:szCs w:val="18"/>
              </w:rPr>
            </w:pPr>
          </w:p>
        </w:tc>
        <w:tc>
          <w:tcPr>
            <w:tcW w:w="591" w:type="pct"/>
            <w:tcBorders>
              <w:top w:val="single" w:color="auto" w:sz="4" w:space="0"/>
              <w:left w:val="single" w:color="auto" w:sz="4" w:space="0"/>
              <w:bottom w:val="single" w:color="auto" w:sz="4" w:space="0"/>
              <w:right w:val="single" w:color="auto" w:sz="4" w:space="0"/>
            </w:tcBorders>
          </w:tcPr>
          <w:p w14:paraId="3EE18C69">
            <w:pPr>
              <w:adjustRightInd w:val="0"/>
              <w:snapToGrid w:val="0"/>
              <w:spacing w:line="560" w:lineRule="exact"/>
              <w:jc w:val="center"/>
              <w:rPr>
                <w:rFonts w:ascii="仿宋_GB2312" w:hAnsi="仿宋_GB2312" w:eastAsia="仿宋_GB2312" w:cs="仿宋_GB2312"/>
                <w:b/>
                <w:bCs/>
                <w:sz w:val="18"/>
                <w:szCs w:val="18"/>
              </w:rPr>
            </w:pPr>
          </w:p>
        </w:tc>
        <w:tc>
          <w:tcPr>
            <w:tcW w:w="517" w:type="pct"/>
            <w:tcBorders>
              <w:top w:val="single" w:color="auto" w:sz="4" w:space="0"/>
              <w:left w:val="single" w:color="auto" w:sz="4" w:space="0"/>
              <w:bottom w:val="single" w:color="auto" w:sz="4" w:space="0"/>
              <w:right w:val="single" w:color="auto" w:sz="4" w:space="0"/>
            </w:tcBorders>
          </w:tcPr>
          <w:p w14:paraId="6DD4665E">
            <w:pPr>
              <w:adjustRightInd w:val="0"/>
              <w:snapToGrid w:val="0"/>
              <w:spacing w:line="560" w:lineRule="exact"/>
              <w:jc w:val="center"/>
              <w:rPr>
                <w:rFonts w:ascii="仿宋_GB2312" w:hAnsi="仿宋_GB2312" w:eastAsia="仿宋_GB2312" w:cs="仿宋_GB2312"/>
                <w:b/>
                <w:bCs/>
                <w:sz w:val="18"/>
                <w:szCs w:val="18"/>
              </w:rPr>
            </w:pPr>
          </w:p>
        </w:tc>
        <w:tc>
          <w:tcPr>
            <w:tcW w:w="797" w:type="pct"/>
            <w:tcBorders>
              <w:top w:val="single" w:color="auto" w:sz="4" w:space="0"/>
              <w:left w:val="single" w:color="auto" w:sz="4" w:space="0"/>
              <w:bottom w:val="single" w:color="auto" w:sz="4" w:space="0"/>
              <w:right w:val="single" w:color="auto" w:sz="4" w:space="0"/>
            </w:tcBorders>
          </w:tcPr>
          <w:p w14:paraId="08681645">
            <w:pPr>
              <w:adjustRightInd w:val="0"/>
              <w:snapToGrid w:val="0"/>
              <w:spacing w:line="560" w:lineRule="exact"/>
              <w:jc w:val="center"/>
              <w:rPr>
                <w:rFonts w:ascii="仿宋_GB2312" w:hAnsi="仿宋_GB2312" w:eastAsia="仿宋_GB2312" w:cs="仿宋_GB2312"/>
                <w:b/>
                <w:bCs/>
                <w:sz w:val="18"/>
                <w:szCs w:val="18"/>
              </w:rPr>
            </w:pPr>
          </w:p>
        </w:tc>
      </w:tr>
    </w:tbl>
    <w:p w14:paraId="37E2A5F7">
      <w:pPr>
        <w:adjustRightInd w:val="0"/>
        <w:snapToGrid w:val="0"/>
        <w:spacing w:before="120" w:line="560" w:lineRule="exact"/>
        <w:ind w:firstLine="578" w:firstLineChars="241"/>
        <w:rPr>
          <w:rFonts w:ascii="仿宋_GB2312" w:hAnsi="仿宋_GB2312" w:eastAsia="仿宋_GB2312" w:cs="仿宋_GB2312"/>
          <w:sz w:val="24"/>
        </w:rPr>
      </w:pPr>
      <w:r>
        <w:rPr>
          <w:rFonts w:hint="eastAsia" w:ascii="仿宋_GB2312" w:hAnsi="仿宋_GB2312" w:eastAsia="仿宋_GB2312" w:cs="仿宋_GB2312"/>
          <w:sz w:val="24"/>
        </w:rPr>
        <w:t>1．评审时，评委对供应商是否满足要求逐条标注评审意见，</w:t>
      </w:r>
      <w:r>
        <w:rPr>
          <w:rFonts w:hint="eastAsia" w:ascii="仿宋_GB2312" w:hAnsi="仿宋_GB2312" w:eastAsia="仿宋_GB2312" w:cs="仿宋_GB2312"/>
          <w:b/>
          <w:bCs/>
          <w:sz w:val="24"/>
        </w:rPr>
        <w:t>“是”标记为“○”，“否”标记为“×”</w:t>
      </w:r>
      <w:r>
        <w:rPr>
          <w:rFonts w:hint="eastAsia" w:ascii="仿宋_GB2312" w:hAnsi="仿宋_GB2312" w:eastAsia="仿宋_GB2312" w:cs="仿宋_GB2312"/>
          <w:sz w:val="24"/>
        </w:rPr>
        <w:t>；</w:t>
      </w:r>
    </w:p>
    <w:p w14:paraId="0D05C522">
      <w:pPr>
        <w:adjustRightInd w:val="0"/>
        <w:snapToGrid w:val="0"/>
        <w:spacing w:line="560" w:lineRule="exact"/>
        <w:ind w:firstLine="578" w:firstLineChars="241"/>
        <w:rPr>
          <w:rFonts w:ascii="仿宋_GB2312" w:hAnsi="仿宋_GB2312" w:eastAsia="仿宋_GB2312" w:cs="仿宋_GB2312"/>
          <w:sz w:val="24"/>
        </w:rPr>
      </w:pPr>
      <w:r>
        <w:rPr>
          <w:rFonts w:hint="eastAsia" w:ascii="仿宋_GB2312" w:hAnsi="仿宋_GB2312" w:eastAsia="仿宋_GB2312" w:cs="仿宋_GB2312"/>
          <w:sz w:val="24"/>
        </w:rPr>
        <w:t>2．“评审结论”栏统一填写为“通过”或“不通过”；</w:t>
      </w:r>
    </w:p>
    <w:p w14:paraId="31685902">
      <w:pPr>
        <w:adjustRightInd w:val="0"/>
        <w:snapToGrid w:val="0"/>
        <w:spacing w:line="560" w:lineRule="exact"/>
        <w:ind w:firstLine="578" w:firstLineChars="241"/>
        <w:rPr>
          <w:rFonts w:ascii="仿宋_GB2312" w:hAnsi="仿宋_GB2312" w:eastAsia="仿宋_GB2312" w:cs="仿宋_GB2312"/>
          <w:sz w:val="24"/>
        </w:rPr>
      </w:pPr>
      <w:r>
        <w:rPr>
          <w:rFonts w:hint="eastAsia" w:ascii="仿宋_GB2312" w:hAnsi="仿宋_GB2312" w:eastAsia="仿宋_GB2312" w:cs="仿宋_GB2312"/>
          <w:sz w:val="24"/>
        </w:rPr>
        <w:t>3．对结论为“不通过”的参选，“备注”栏要说明原因。</w:t>
      </w:r>
    </w:p>
    <w:p w14:paraId="0B2B6949">
      <w:pPr>
        <w:adjustRightInd w:val="0"/>
        <w:snapToGrid w:val="0"/>
        <w:spacing w:line="560" w:lineRule="exact"/>
        <w:rPr>
          <w:rFonts w:ascii="Arial Unicode MS" w:hAnsi="Arial Unicode MS" w:cs="宋体"/>
          <w:sz w:val="24"/>
        </w:rPr>
      </w:pPr>
    </w:p>
    <w:p w14:paraId="1B72DAE8">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评委签名：                                  日期：</w:t>
      </w:r>
    </w:p>
    <w:bookmarkEnd w:id="86"/>
    <w:p w14:paraId="2044B167">
      <w:pPr>
        <w:tabs>
          <w:tab w:val="left" w:pos="2084"/>
        </w:tabs>
        <w:adjustRightInd w:val="0"/>
        <w:snapToGrid w:val="0"/>
        <w:spacing w:line="560" w:lineRule="exact"/>
        <w:rPr>
          <w:rFonts w:ascii="仿宋_GB2312" w:hAnsi="仿宋_GB2312" w:eastAsia="仿宋_GB2312" w:cs="仿宋_GB2312"/>
          <w:bCs/>
          <w:kern w:val="0"/>
          <w:sz w:val="24"/>
          <w:szCs w:val="32"/>
        </w:rPr>
        <w:sectPr>
          <w:pgSz w:w="11906" w:h="16838"/>
          <w:pgMar w:top="1134" w:right="1418" w:bottom="1418" w:left="1134" w:header="851" w:footer="992" w:gutter="0"/>
          <w:cols w:space="720" w:num="1"/>
          <w:titlePg/>
          <w:docGrid w:type="lines" w:linePitch="291" w:charSpace="-3913"/>
        </w:sectPr>
      </w:pPr>
      <w:bookmarkStart w:id="102" w:name="_Toc98040828"/>
      <w:bookmarkStart w:id="103" w:name="_Toc472608697"/>
      <w:bookmarkStart w:id="104" w:name="_Toc520146468"/>
    </w:p>
    <w:p w14:paraId="06567BF6">
      <w:pPr>
        <w:pStyle w:val="4"/>
        <w:tabs>
          <w:tab w:val="left" w:pos="945"/>
        </w:tabs>
        <w:spacing w:line="360" w:lineRule="auto"/>
        <w:ind w:left="425" w:hanging="425"/>
        <w:rPr>
          <w:rFonts w:hint="eastAsia" w:ascii="宋体" w:hAnsi="宋体"/>
          <w:sz w:val="24"/>
        </w:rPr>
      </w:pPr>
      <w:bookmarkStart w:id="105" w:name="_Toc16769"/>
      <w:bookmarkStart w:id="106" w:name="_Toc237415676"/>
      <w:r>
        <w:rPr>
          <w:rFonts w:hint="eastAsia" w:ascii="宋体" w:hAnsi="宋体"/>
          <w:sz w:val="24"/>
        </w:rPr>
        <w:t>附表2：评审表</w:t>
      </w:r>
      <w:bookmarkEnd w:id="105"/>
      <w:bookmarkEnd w:id="106"/>
    </w:p>
    <w:tbl>
      <w:tblPr>
        <w:tblStyle w:val="32"/>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7"/>
        <w:gridCol w:w="1384"/>
        <w:gridCol w:w="7029"/>
      </w:tblGrid>
      <w:tr w14:paraId="0605C3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1" w:type="pct"/>
            <w:vAlign w:val="center"/>
          </w:tcPr>
          <w:p w14:paraId="3EDE410B">
            <w:pPr>
              <w:pStyle w:val="59"/>
              <w:jc w:val="center"/>
              <w:rPr>
                <w:rFonts w:hint="default"/>
              </w:rPr>
            </w:pPr>
            <w:r>
              <w:t>评审因素</w:t>
            </w:r>
          </w:p>
        </w:tc>
        <w:tc>
          <w:tcPr>
            <w:tcW w:w="4498" w:type="pct"/>
            <w:gridSpan w:val="2"/>
          </w:tcPr>
          <w:p w14:paraId="6F721112">
            <w:pPr>
              <w:pStyle w:val="59"/>
              <w:jc w:val="center"/>
              <w:rPr>
                <w:rFonts w:hint="default"/>
              </w:rPr>
            </w:pPr>
            <w:r>
              <w:t>评审标准</w:t>
            </w:r>
          </w:p>
        </w:tc>
      </w:tr>
      <w:tr w14:paraId="537D98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1" w:type="pct"/>
            <w:vAlign w:val="center"/>
          </w:tcPr>
          <w:p w14:paraId="26323E24">
            <w:pPr>
              <w:pStyle w:val="59"/>
              <w:jc w:val="center"/>
              <w:rPr>
                <w:rFonts w:hint="default"/>
              </w:rPr>
            </w:pPr>
            <w:r>
              <w:t>分值构成</w:t>
            </w:r>
          </w:p>
        </w:tc>
        <w:tc>
          <w:tcPr>
            <w:tcW w:w="4498" w:type="pct"/>
            <w:gridSpan w:val="2"/>
          </w:tcPr>
          <w:p w14:paraId="7086ABD0">
            <w:pPr>
              <w:pStyle w:val="59"/>
              <w:rPr>
                <w:rFonts w:hint="default"/>
              </w:rPr>
            </w:pPr>
            <w:r>
              <w:t>技术部分</w:t>
            </w:r>
            <w:r>
              <w:rPr>
                <w:lang w:eastAsia="zh-CN"/>
              </w:rPr>
              <w:t>40.0</w:t>
            </w:r>
            <w:r>
              <w:t>分</w:t>
            </w:r>
          </w:p>
          <w:p w14:paraId="797A485D">
            <w:pPr>
              <w:pStyle w:val="59"/>
              <w:rPr>
                <w:rFonts w:hint="default"/>
              </w:rPr>
            </w:pPr>
            <w:r>
              <w:t>商务部分</w:t>
            </w:r>
            <w:r>
              <w:rPr>
                <w:lang w:eastAsia="zh-CN"/>
              </w:rPr>
              <w:t>10</w:t>
            </w:r>
            <w:r>
              <w:t>.0分</w:t>
            </w:r>
          </w:p>
          <w:p w14:paraId="63371716">
            <w:pPr>
              <w:pStyle w:val="59"/>
              <w:rPr>
                <w:rFonts w:hint="default"/>
              </w:rPr>
            </w:pPr>
            <w:r>
              <w:t>报价得分</w:t>
            </w:r>
            <w:r>
              <w:rPr>
                <w:lang w:eastAsia="zh-CN"/>
              </w:rPr>
              <w:t>5</w:t>
            </w:r>
            <w:r>
              <w:t>0.0分</w:t>
            </w:r>
          </w:p>
        </w:tc>
      </w:tr>
      <w:tr w14:paraId="35903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1" w:type="pct"/>
            <w:vMerge w:val="restart"/>
            <w:vAlign w:val="center"/>
          </w:tcPr>
          <w:p w14:paraId="144514B4">
            <w:pPr>
              <w:pStyle w:val="59"/>
              <w:jc w:val="center"/>
              <w:rPr>
                <w:rFonts w:hint="default"/>
              </w:rPr>
            </w:pPr>
            <w:r>
              <w:t>技术部分</w:t>
            </w:r>
          </w:p>
        </w:tc>
        <w:tc>
          <w:tcPr>
            <w:tcW w:w="740" w:type="pct"/>
            <w:vAlign w:val="center"/>
          </w:tcPr>
          <w:p w14:paraId="39380300">
            <w:pPr>
              <w:pStyle w:val="59"/>
              <w:spacing w:line="400" w:lineRule="exact"/>
              <w:jc w:val="center"/>
              <w:rPr>
                <w:rFonts w:hint="default"/>
              </w:rPr>
            </w:pPr>
            <w:r>
              <w:rPr>
                <w:rFonts w:ascii="宋体" w:hAnsi="宋体" w:cs="宋体"/>
              </w:rPr>
              <w:t>所投货物对用户需求书中带▲号的重要技术参数的符合性</w:t>
            </w:r>
            <w:r>
              <w:rPr>
                <w:rFonts w:ascii="宋体" w:hAnsi="宋体" w:cs="宋体"/>
                <w:lang w:eastAsia="zh-CN"/>
              </w:rPr>
              <w:t>（20</w:t>
            </w:r>
            <w:r>
              <w:rPr>
                <w:rFonts w:ascii="宋体" w:hAnsi="宋体" w:cs="宋体"/>
              </w:rPr>
              <w:t>分)</w:t>
            </w:r>
          </w:p>
        </w:tc>
        <w:tc>
          <w:tcPr>
            <w:tcW w:w="3758" w:type="pct"/>
          </w:tcPr>
          <w:p w14:paraId="34D7E706">
            <w:pPr>
              <w:pStyle w:val="59"/>
              <w:spacing w:line="400" w:lineRule="exact"/>
              <w:rPr>
                <w:rFonts w:ascii="宋体" w:hAnsi="宋体" w:cs="宋体"/>
              </w:rPr>
            </w:pPr>
            <w:r>
              <w:rPr>
                <w:rFonts w:ascii="宋体" w:hAnsi="宋体" w:cs="宋体"/>
              </w:rPr>
              <w:t>所投产品参数全部满足或优于采购需求书中带▲号的重要技术参数，得</w:t>
            </w:r>
            <w:r>
              <w:rPr>
                <w:rFonts w:ascii="宋体" w:hAnsi="宋体" w:cs="宋体"/>
                <w:lang w:eastAsia="zh-CN"/>
              </w:rPr>
              <w:t>20</w:t>
            </w:r>
            <w:r>
              <w:rPr>
                <w:rFonts w:ascii="宋体" w:hAnsi="宋体" w:cs="宋体"/>
              </w:rPr>
              <w:t>分；每出现一处▲号负偏离或未响应的，扣</w:t>
            </w:r>
            <w:r>
              <w:rPr>
                <w:rFonts w:ascii="宋体" w:hAnsi="宋体" w:cs="宋体"/>
                <w:lang w:eastAsia="zh-CN"/>
              </w:rPr>
              <w:t>5</w:t>
            </w:r>
            <w:r>
              <w:rPr>
                <w:rFonts w:ascii="宋体" w:hAnsi="宋体" w:cs="宋体"/>
              </w:rPr>
              <w:t>分。(本项目共</w:t>
            </w:r>
            <w:r>
              <w:rPr>
                <w:rFonts w:ascii="宋体" w:hAnsi="宋体" w:cs="宋体"/>
                <w:lang w:eastAsia="zh-CN"/>
              </w:rPr>
              <w:t>4</w:t>
            </w:r>
            <w:r>
              <w:rPr>
                <w:rFonts w:ascii="宋体" w:hAnsi="宋体" w:cs="宋体"/>
              </w:rPr>
              <w:t>个▲号参数)。</w:t>
            </w:r>
          </w:p>
          <w:p w14:paraId="59C6AAB8">
            <w:pPr>
              <w:pStyle w:val="59"/>
              <w:spacing w:line="400" w:lineRule="exact"/>
              <w:rPr>
                <w:rFonts w:ascii="宋体" w:hAnsi="宋体" w:cs="宋体"/>
                <w:color w:val="000000"/>
                <w:sz w:val="21"/>
                <w:szCs w:val="21"/>
                <w:lang w:eastAsia="zh-CN"/>
              </w:rPr>
            </w:pPr>
            <w:r>
              <w:rPr>
                <w:rFonts w:ascii="宋体" w:hAnsi="宋体" w:cs="宋体"/>
              </w:rPr>
              <w:t>所有投标人须提供相应参数的厂家技术白皮书（datasheet）或使用说明书或第三方机构出具的质量认可材料或第三方机构的检验报告等作为技术证明文件（如采购需求中有要求证明文件的，以采购需求为准；如技术证明文件为英文版，请同时提供中文版）。未提供证明文件的，不得分。如用户需求书中有要求证明资料的，以用户需求书要求为准。</w:t>
            </w:r>
          </w:p>
        </w:tc>
      </w:tr>
      <w:tr w14:paraId="178A7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1" w:type="pct"/>
            <w:vMerge w:val="continue"/>
            <w:vAlign w:val="center"/>
          </w:tcPr>
          <w:p w14:paraId="77B4DD3C">
            <w:pPr>
              <w:jc w:val="center"/>
            </w:pPr>
          </w:p>
        </w:tc>
        <w:tc>
          <w:tcPr>
            <w:tcW w:w="740" w:type="pct"/>
            <w:vAlign w:val="center"/>
          </w:tcPr>
          <w:p w14:paraId="709839E2">
            <w:pPr>
              <w:pStyle w:val="59"/>
              <w:spacing w:line="400" w:lineRule="exact"/>
              <w:jc w:val="center"/>
              <w:rPr>
                <w:rFonts w:ascii="宋体" w:hAnsi="宋体" w:cs="宋体"/>
              </w:rPr>
            </w:pPr>
            <w:r>
              <w:rPr>
                <w:rFonts w:ascii="宋体" w:hAnsi="宋体" w:cs="宋体"/>
              </w:rPr>
              <w:t>所投货物技术参数及性能与技术参数要求、用户需求书的符合性</w:t>
            </w:r>
            <w:r>
              <w:rPr>
                <w:rFonts w:ascii="宋体" w:hAnsi="宋体" w:cs="宋体"/>
                <w:lang w:eastAsia="zh-CN"/>
              </w:rPr>
              <w:t>（12</w:t>
            </w:r>
            <w:r>
              <w:rPr>
                <w:rFonts w:ascii="宋体" w:hAnsi="宋体" w:cs="宋体"/>
              </w:rPr>
              <w:t>分)</w:t>
            </w:r>
          </w:p>
        </w:tc>
        <w:tc>
          <w:tcPr>
            <w:tcW w:w="3758" w:type="pct"/>
          </w:tcPr>
          <w:p w14:paraId="1AF1934E">
            <w:pPr>
              <w:pStyle w:val="59"/>
              <w:spacing w:line="400" w:lineRule="exact"/>
              <w:rPr>
                <w:rFonts w:ascii="宋体" w:hAnsi="宋体" w:cs="宋体"/>
              </w:rPr>
            </w:pPr>
            <w:r>
              <w:rPr>
                <w:rFonts w:ascii="宋体" w:hAnsi="宋体" w:cs="宋体"/>
              </w:rPr>
              <w:t>所投产品技术参数</w:t>
            </w:r>
            <w:r>
              <w:rPr>
                <w:rFonts w:ascii="宋体" w:hAnsi="宋体" w:cs="宋体"/>
                <w:lang w:eastAsia="zh-CN"/>
              </w:rPr>
              <w:t>完全满足</w:t>
            </w:r>
            <w:r>
              <w:rPr>
                <w:rFonts w:ascii="宋体" w:hAnsi="宋体" w:cs="宋体"/>
              </w:rPr>
              <w:t>或优于采购</w:t>
            </w:r>
            <w:r>
              <w:rPr>
                <w:rFonts w:ascii="宋体" w:hAnsi="宋体" w:cs="宋体"/>
                <w:lang w:eastAsia="zh-CN"/>
              </w:rPr>
              <w:t>采购</w:t>
            </w:r>
            <w:r>
              <w:rPr>
                <w:rFonts w:ascii="宋体" w:hAnsi="宋体" w:cs="宋体"/>
              </w:rPr>
              <w:t>需求书中不带★号、不带▲号的一般技术参数，得</w:t>
            </w:r>
            <w:r>
              <w:rPr>
                <w:rFonts w:ascii="宋体" w:hAnsi="宋体" w:cs="宋体"/>
                <w:lang w:eastAsia="zh-CN"/>
              </w:rPr>
              <w:t>12</w:t>
            </w:r>
            <w:r>
              <w:rPr>
                <w:rFonts w:ascii="宋体" w:hAnsi="宋体" w:cs="宋体"/>
              </w:rPr>
              <w:t>分；</w:t>
            </w:r>
          </w:p>
          <w:p w14:paraId="40ACE915">
            <w:pPr>
              <w:pStyle w:val="59"/>
              <w:spacing w:line="400" w:lineRule="exact"/>
              <w:rPr>
                <w:rFonts w:ascii="宋体" w:hAnsi="宋体" w:cs="宋体"/>
              </w:rPr>
            </w:pPr>
            <w:r>
              <w:rPr>
                <w:rFonts w:ascii="宋体" w:hAnsi="宋体" w:cs="宋体"/>
              </w:rPr>
              <w:t>一般技术参数每负偏离或者未响应</w:t>
            </w:r>
            <w:r>
              <w:rPr>
                <w:rFonts w:ascii="宋体" w:hAnsi="宋体" w:cs="宋体"/>
                <w:lang w:eastAsia="zh-CN"/>
              </w:rPr>
              <w:t>1条，扣1.5分</w:t>
            </w:r>
            <w:r>
              <w:rPr>
                <w:rFonts w:ascii="宋体" w:hAnsi="宋体" w:cs="宋体"/>
              </w:rPr>
              <w:t>。(本项目共</w:t>
            </w:r>
            <w:r>
              <w:rPr>
                <w:rFonts w:ascii="宋体" w:hAnsi="宋体" w:cs="宋体"/>
                <w:lang w:eastAsia="zh-CN"/>
              </w:rPr>
              <w:t>8</w:t>
            </w:r>
            <w:r>
              <w:rPr>
                <w:rFonts w:ascii="宋体" w:hAnsi="宋体" w:cs="宋体"/>
              </w:rPr>
              <w:t>个不带★号、不带▲号的一般技术参数)。</w:t>
            </w:r>
          </w:p>
          <w:p w14:paraId="4476AAFD">
            <w:pPr>
              <w:pStyle w:val="59"/>
              <w:spacing w:line="400" w:lineRule="exact"/>
              <w:rPr>
                <w:rFonts w:ascii="宋体" w:hAnsi="宋体" w:cs="宋体"/>
                <w:color w:val="000000"/>
                <w:sz w:val="21"/>
                <w:szCs w:val="21"/>
                <w:lang w:eastAsia="zh-CN"/>
              </w:rPr>
            </w:pPr>
            <w:r>
              <w:rPr>
                <w:rFonts w:ascii="宋体" w:hAnsi="宋体" w:cs="宋体"/>
              </w:rPr>
              <w:t>如采购需求中有要求证明文件的，所有投标人须按要求提供相应技术证明文件（如技术证明文件为英文版，请同时提供中文版）；未提供证明文件的，不得分。如采购需求中未要求证明文件的，以投标人在《技术和服务要求响应表》中的响应为准。</w:t>
            </w:r>
          </w:p>
        </w:tc>
      </w:tr>
      <w:tr w14:paraId="69539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1" w:type="pct"/>
            <w:vMerge w:val="continue"/>
            <w:vAlign w:val="center"/>
          </w:tcPr>
          <w:p w14:paraId="35DE4395">
            <w:pPr>
              <w:jc w:val="center"/>
            </w:pPr>
          </w:p>
        </w:tc>
        <w:tc>
          <w:tcPr>
            <w:tcW w:w="740" w:type="pct"/>
            <w:vAlign w:val="center"/>
          </w:tcPr>
          <w:p w14:paraId="2AD37396">
            <w:pPr>
              <w:pStyle w:val="59"/>
              <w:spacing w:line="400" w:lineRule="exact"/>
              <w:jc w:val="center"/>
              <w:rPr>
                <w:rFonts w:ascii="宋体" w:hAnsi="宋体" w:cs="宋体"/>
              </w:rPr>
            </w:pPr>
          </w:p>
          <w:p w14:paraId="0D060DC6">
            <w:pPr>
              <w:pStyle w:val="59"/>
              <w:spacing w:line="400" w:lineRule="exact"/>
              <w:jc w:val="center"/>
              <w:rPr>
                <w:rFonts w:ascii="宋体" w:hAnsi="宋体" w:cs="宋体"/>
                <w:lang w:eastAsia="zh-CN"/>
              </w:rPr>
            </w:pPr>
            <w:r>
              <w:rPr>
                <w:rFonts w:ascii="宋体" w:hAnsi="宋体" w:cs="宋体"/>
              </w:rPr>
              <w:t>质量保证及售后服务</w:t>
            </w:r>
            <w:r>
              <w:rPr>
                <w:rFonts w:ascii="宋体" w:hAnsi="宋体" w:cs="宋体"/>
                <w:lang w:eastAsia="zh-CN"/>
              </w:rPr>
              <w:t>（8</w:t>
            </w:r>
            <w:r>
              <w:rPr>
                <w:rFonts w:ascii="宋体" w:hAnsi="宋体" w:cs="宋体"/>
              </w:rPr>
              <w:t>分</w:t>
            </w:r>
            <w:r>
              <w:rPr>
                <w:rFonts w:ascii="宋体" w:hAnsi="宋体" w:cs="宋体"/>
                <w:lang w:eastAsia="zh-CN"/>
              </w:rPr>
              <w:t>）</w:t>
            </w:r>
          </w:p>
        </w:tc>
        <w:tc>
          <w:tcPr>
            <w:tcW w:w="3758" w:type="pct"/>
          </w:tcPr>
          <w:p w14:paraId="3C4B14F6">
            <w:pPr>
              <w:pStyle w:val="59"/>
              <w:spacing w:line="400" w:lineRule="exact"/>
              <w:rPr>
                <w:rFonts w:ascii="宋体" w:hAnsi="宋体" w:cs="宋体"/>
                <w:lang w:eastAsia="zh-CN"/>
              </w:rPr>
            </w:pPr>
            <w:r>
              <w:rPr>
                <w:rFonts w:ascii="宋体" w:hAnsi="宋体" w:cs="宋体"/>
              </w:rPr>
              <w:t>投标人根据采购需求提供质量保证及售后服务</w:t>
            </w:r>
            <w:r>
              <w:rPr>
                <w:rFonts w:ascii="宋体" w:hAnsi="宋体" w:cs="宋体"/>
                <w:lang w:eastAsia="zh-CN"/>
              </w:rPr>
              <w:t>方案进行评审</w:t>
            </w:r>
            <w:r>
              <w:rPr>
                <w:rFonts w:ascii="宋体" w:hAnsi="宋体" w:cs="宋体"/>
              </w:rPr>
              <w:t>，内容至少包括：</w:t>
            </w:r>
            <w:r>
              <w:t>①设备开机率保障，②设备故障处理</w:t>
            </w:r>
            <w:r>
              <w:rPr>
                <w:rFonts w:ascii="宋体" w:hAnsi="宋体" w:cs="宋体"/>
              </w:rPr>
              <w:t>。</w:t>
            </w:r>
          </w:p>
          <w:p w14:paraId="276FE567">
            <w:pPr>
              <w:pStyle w:val="59"/>
              <w:spacing w:line="400" w:lineRule="exact"/>
              <w:rPr>
                <w:rFonts w:ascii="宋体" w:hAnsi="宋体" w:cs="宋体"/>
                <w:lang w:eastAsia="zh-CN"/>
              </w:rPr>
            </w:pPr>
            <w:r>
              <w:rPr>
                <w:rFonts w:ascii="宋体" w:hAnsi="宋体" w:cs="宋体"/>
                <w:lang w:eastAsia="zh-CN"/>
              </w:rPr>
              <w:t>（一）方案中每体现上述1项内容得1分，本小项最高得2分。</w:t>
            </w:r>
          </w:p>
          <w:p w14:paraId="0AC07790">
            <w:pPr>
              <w:pStyle w:val="59"/>
              <w:spacing w:line="400" w:lineRule="exact"/>
              <w:rPr>
                <w:rFonts w:ascii="宋体" w:hAnsi="宋体" w:cs="宋体"/>
                <w:lang w:eastAsia="zh-CN"/>
              </w:rPr>
            </w:pPr>
            <w:r>
              <w:rPr>
                <w:rFonts w:ascii="宋体" w:hAnsi="宋体" w:cs="宋体"/>
                <w:lang w:eastAsia="zh-CN"/>
              </w:rPr>
              <w:t>（二）对方案内容按下述标准评分，本小项最高得6分：</w:t>
            </w:r>
          </w:p>
          <w:p w14:paraId="14B78C4F">
            <w:pPr>
              <w:pStyle w:val="59"/>
              <w:spacing w:line="400" w:lineRule="exact"/>
              <w:rPr>
                <w:rFonts w:ascii="宋体" w:hAnsi="宋体" w:cs="宋体"/>
              </w:rPr>
            </w:pPr>
            <w:r>
              <w:rPr>
                <w:rFonts w:ascii="宋体" w:hAnsi="宋体" w:cs="宋体"/>
                <w:lang w:eastAsia="zh-CN"/>
              </w:rPr>
              <w:t>（1）</w:t>
            </w:r>
            <w:r>
              <w:rPr>
                <w:rFonts w:ascii="宋体" w:hAnsi="宋体" w:cs="宋体"/>
              </w:rPr>
              <w:t>方案完全满足且优于采购需求，本项得</w:t>
            </w:r>
            <w:r>
              <w:rPr>
                <w:rFonts w:ascii="宋体" w:hAnsi="宋体" w:cs="宋体"/>
                <w:lang w:eastAsia="zh-CN"/>
              </w:rPr>
              <w:t>6</w:t>
            </w:r>
            <w:r>
              <w:rPr>
                <w:rFonts w:ascii="宋体" w:hAnsi="宋体" w:cs="宋体"/>
              </w:rPr>
              <w:t xml:space="preserve">分； </w:t>
            </w:r>
          </w:p>
          <w:p w14:paraId="608E60A1">
            <w:pPr>
              <w:pStyle w:val="59"/>
              <w:spacing w:line="400" w:lineRule="exact"/>
              <w:rPr>
                <w:rFonts w:ascii="宋体" w:hAnsi="宋体" w:cs="宋体"/>
              </w:rPr>
            </w:pPr>
            <w:r>
              <w:rPr>
                <w:rFonts w:ascii="宋体" w:hAnsi="宋体" w:cs="宋体"/>
              </w:rPr>
              <w:t>（2）方案完全满足采购需求，本项得</w:t>
            </w:r>
            <w:r>
              <w:rPr>
                <w:rFonts w:ascii="宋体" w:hAnsi="宋体" w:cs="宋体"/>
                <w:lang w:eastAsia="zh-CN"/>
              </w:rPr>
              <w:t>3</w:t>
            </w:r>
            <w:r>
              <w:rPr>
                <w:rFonts w:ascii="宋体" w:hAnsi="宋体" w:cs="宋体"/>
              </w:rPr>
              <w:t xml:space="preserve">分； </w:t>
            </w:r>
          </w:p>
          <w:p w14:paraId="511DE797">
            <w:pPr>
              <w:pStyle w:val="59"/>
              <w:spacing w:line="400" w:lineRule="exact"/>
              <w:rPr>
                <w:rFonts w:ascii="宋体" w:hAnsi="宋体" w:cs="宋体"/>
              </w:rPr>
            </w:pPr>
            <w:r>
              <w:rPr>
                <w:rFonts w:ascii="宋体" w:hAnsi="宋体" w:cs="宋体"/>
              </w:rPr>
              <w:t>（3）方案不能完全满足采购需求，本项得</w:t>
            </w:r>
            <w:r>
              <w:rPr>
                <w:rFonts w:ascii="宋体" w:hAnsi="宋体" w:cs="宋体"/>
                <w:lang w:eastAsia="zh-CN"/>
              </w:rPr>
              <w:t>1</w:t>
            </w:r>
            <w:r>
              <w:rPr>
                <w:rFonts w:ascii="宋体" w:hAnsi="宋体" w:cs="宋体"/>
              </w:rPr>
              <w:t xml:space="preserve">分； </w:t>
            </w:r>
          </w:p>
          <w:p w14:paraId="034A634D">
            <w:pPr>
              <w:pStyle w:val="59"/>
              <w:spacing w:line="400" w:lineRule="exact"/>
              <w:rPr>
                <w:rFonts w:ascii="宋体" w:hAnsi="宋体" w:cs="宋体"/>
                <w:lang w:eastAsia="zh-CN"/>
              </w:rPr>
            </w:pPr>
            <w:r>
              <w:rPr>
                <w:rFonts w:ascii="宋体" w:hAnsi="宋体" w:cs="宋体"/>
              </w:rPr>
              <w:t>（4）不提供方案的，本项得0分。</w:t>
            </w:r>
          </w:p>
          <w:p w14:paraId="57D03379">
            <w:pPr>
              <w:pStyle w:val="59"/>
              <w:spacing w:line="400" w:lineRule="exact"/>
              <w:rPr>
                <w:rFonts w:ascii="宋体" w:hAnsi="宋体" w:cs="宋体"/>
              </w:rPr>
            </w:pPr>
            <w:r>
              <w:rPr>
                <w:rFonts w:ascii="宋体" w:hAnsi="宋体" w:cs="宋体"/>
                <w:lang w:eastAsia="zh-CN"/>
              </w:rPr>
              <w:t>（三）未提供方案的，得0分。</w:t>
            </w:r>
          </w:p>
        </w:tc>
      </w:tr>
      <w:tr w14:paraId="00591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1" w:type="pct"/>
            <w:vMerge w:val="restart"/>
            <w:vAlign w:val="center"/>
          </w:tcPr>
          <w:p w14:paraId="46405897">
            <w:pPr>
              <w:pStyle w:val="59"/>
              <w:jc w:val="center"/>
              <w:rPr>
                <w:rFonts w:hint="default"/>
              </w:rPr>
            </w:pPr>
            <w:r>
              <w:t>商务部分</w:t>
            </w:r>
          </w:p>
        </w:tc>
        <w:tc>
          <w:tcPr>
            <w:tcW w:w="740" w:type="pct"/>
            <w:vAlign w:val="center"/>
          </w:tcPr>
          <w:p w14:paraId="2D937F82">
            <w:pPr>
              <w:pStyle w:val="59"/>
              <w:spacing w:line="400" w:lineRule="exact"/>
              <w:jc w:val="center"/>
              <w:rPr>
                <w:rFonts w:ascii="宋体" w:hAnsi="宋体" w:cs="宋体"/>
                <w:lang w:eastAsia="zh-CN"/>
              </w:rPr>
            </w:pPr>
            <w:r>
              <w:rPr>
                <w:rFonts w:ascii="宋体" w:hAnsi="宋体" w:cs="宋体"/>
                <w:lang w:eastAsia="zh-CN"/>
              </w:rPr>
              <w:t>供应商供货业绩</w:t>
            </w:r>
          </w:p>
          <w:p w14:paraId="0E8F7239">
            <w:pPr>
              <w:pStyle w:val="59"/>
              <w:spacing w:line="400" w:lineRule="exact"/>
              <w:jc w:val="center"/>
              <w:rPr>
                <w:rFonts w:ascii="宋体" w:hAnsi="宋体" w:cs="宋体"/>
              </w:rPr>
            </w:pPr>
            <w:r>
              <w:rPr>
                <w:rFonts w:ascii="宋体" w:hAnsi="宋体" w:cs="宋体"/>
                <w:lang w:eastAsia="zh-CN"/>
              </w:rPr>
              <w:t>（5</w:t>
            </w:r>
            <w:r>
              <w:rPr>
                <w:rFonts w:ascii="宋体" w:hAnsi="宋体" w:cs="宋体"/>
              </w:rPr>
              <w:t>分</w:t>
            </w:r>
            <w:r>
              <w:rPr>
                <w:rFonts w:ascii="宋体" w:hAnsi="宋体" w:cs="宋体"/>
                <w:lang w:eastAsia="zh-CN"/>
              </w:rPr>
              <w:t>）</w:t>
            </w:r>
          </w:p>
        </w:tc>
        <w:tc>
          <w:tcPr>
            <w:tcW w:w="3758" w:type="pct"/>
          </w:tcPr>
          <w:p w14:paraId="301DBFF0">
            <w:pPr>
              <w:pStyle w:val="59"/>
              <w:spacing w:line="400" w:lineRule="exact"/>
              <w:rPr>
                <w:rFonts w:ascii="宋体" w:hAnsi="宋体" w:cs="宋体"/>
                <w:lang w:eastAsia="zh-CN"/>
              </w:rPr>
            </w:pPr>
            <w:r>
              <w:rPr>
                <w:rFonts w:ascii="宋体" w:hAnsi="宋体" w:cs="宋体"/>
                <w:lang w:eastAsia="zh-CN"/>
              </w:rPr>
              <w:t>2023年9月1日至今供应商具有所投设备供货项目业绩【应满足以下条件：合同清单中至少包含本项目所投同类设备的供货项目】，每具有1个同类业绩项目的，得</w:t>
            </w:r>
            <w:r>
              <w:rPr>
                <w:rFonts w:hint="eastAsia" w:ascii="宋体" w:hAnsi="宋体" w:cs="宋体"/>
                <w:lang w:val="en-US" w:eastAsia="zh-CN"/>
              </w:rPr>
              <w:t>2.5</w:t>
            </w:r>
            <w:r>
              <w:rPr>
                <w:rFonts w:ascii="宋体" w:hAnsi="宋体" w:cs="宋体"/>
                <w:lang w:eastAsia="zh-CN"/>
              </w:rPr>
              <w:t>分，满分5分。（提供合同关键页（含签订合同双方的单位名称、合同项目名称、合同清单/合同概况、签订合同双方的落款盖章、签订日期的关键页）复印件，以签订合同的时间为准，未提供则不得分。本项业绩与“所投产品同品牌同型号货物供货情况”不重复计分，供应商应将业绩自行分为《所投产品同品牌同型号货物业绩清单》以及《供应商供货业绩清单》，如供应商未明确划分的，评标委员会将优先纳入《供应商供货业绩》评分）</w:t>
            </w:r>
          </w:p>
        </w:tc>
      </w:tr>
      <w:tr w14:paraId="1810C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14" w:hRule="atLeast"/>
        </w:trPr>
        <w:tc>
          <w:tcPr>
            <w:tcW w:w="501" w:type="pct"/>
            <w:vMerge w:val="continue"/>
            <w:vAlign w:val="center"/>
          </w:tcPr>
          <w:p w14:paraId="758A6C1D">
            <w:pPr>
              <w:jc w:val="center"/>
            </w:pPr>
          </w:p>
        </w:tc>
        <w:tc>
          <w:tcPr>
            <w:tcW w:w="740" w:type="pct"/>
            <w:vAlign w:val="center"/>
          </w:tcPr>
          <w:p w14:paraId="5A628CCC">
            <w:pPr>
              <w:pStyle w:val="59"/>
              <w:spacing w:line="400" w:lineRule="exact"/>
              <w:jc w:val="center"/>
              <w:rPr>
                <w:rFonts w:ascii="宋体" w:hAnsi="宋体" w:cs="宋体"/>
              </w:rPr>
            </w:pPr>
            <w:r>
              <w:rPr>
                <w:rFonts w:ascii="宋体" w:hAnsi="宋体" w:cs="宋体"/>
                <w:lang w:eastAsia="zh-CN"/>
              </w:rPr>
              <w:t>所投产品同品牌同型号货物供货情况（5</w:t>
            </w:r>
            <w:r>
              <w:rPr>
                <w:rFonts w:ascii="宋体" w:hAnsi="宋体" w:cs="宋体"/>
              </w:rPr>
              <w:t>分</w:t>
            </w:r>
            <w:r>
              <w:rPr>
                <w:rFonts w:ascii="宋体" w:hAnsi="宋体" w:cs="宋体"/>
                <w:lang w:eastAsia="zh-CN"/>
              </w:rPr>
              <w:t>）</w:t>
            </w:r>
          </w:p>
        </w:tc>
        <w:tc>
          <w:tcPr>
            <w:tcW w:w="3758" w:type="pct"/>
          </w:tcPr>
          <w:p w14:paraId="11C04481">
            <w:pPr>
              <w:pStyle w:val="59"/>
              <w:spacing w:line="400" w:lineRule="exact"/>
              <w:rPr>
                <w:rFonts w:ascii="宋体" w:hAnsi="宋体" w:cs="宋体"/>
              </w:rPr>
            </w:pPr>
            <w:r>
              <w:rPr>
                <w:rFonts w:ascii="宋体" w:hAnsi="宋体" w:cs="宋体"/>
                <w:lang w:eastAsia="zh-CN"/>
              </w:rPr>
              <w:t>所投货物的业绩（2023年9月1日至今，以合同签订时间为准）进行评审及打分：每具有1个与本项目所投产设备品牌同型号业绩的，得1分，满分5分。(响应文件中提供《所投产品同品牌同型号货物业绩清单》及对应的合同关键页（含签订合同双方的单位名称、合同项目名称、合同清单/合同概况、签订合同双方的落款盖章、签订日期的关键页）复印件，合同乙方可以为供应商或货物制造商或其他供应商。同一合同在商务部分“供应商供货业绩”已计算得分的，此处不再重复计算得分。)</w:t>
            </w:r>
          </w:p>
        </w:tc>
      </w:tr>
      <w:tr w14:paraId="044B9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1" w:type="pct"/>
            <w:vAlign w:val="center"/>
          </w:tcPr>
          <w:p w14:paraId="09940360">
            <w:pPr>
              <w:pStyle w:val="59"/>
              <w:jc w:val="center"/>
              <w:rPr>
                <w:rFonts w:hint="default"/>
              </w:rPr>
            </w:pPr>
            <w:r>
              <w:t>投标报价</w:t>
            </w:r>
          </w:p>
        </w:tc>
        <w:tc>
          <w:tcPr>
            <w:tcW w:w="740" w:type="pct"/>
            <w:vAlign w:val="center"/>
          </w:tcPr>
          <w:p w14:paraId="0E523B07">
            <w:pPr>
              <w:pStyle w:val="59"/>
              <w:spacing w:line="400" w:lineRule="exact"/>
              <w:jc w:val="center"/>
              <w:rPr>
                <w:rFonts w:ascii="宋体" w:hAnsi="宋体" w:cs="宋体"/>
              </w:rPr>
            </w:pPr>
            <w:r>
              <w:rPr>
                <w:rFonts w:ascii="宋体" w:hAnsi="宋体" w:cs="宋体"/>
              </w:rPr>
              <w:t xml:space="preserve">投标报价得分 </w:t>
            </w:r>
          </w:p>
          <w:p w14:paraId="03AF3FC5">
            <w:pPr>
              <w:pStyle w:val="59"/>
              <w:spacing w:line="400" w:lineRule="exact"/>
              <w:jc w:val="center"/>
              <w:rPr>
                <w:rFonts w:hint="default"/>
              </w:rPr>
            </w:pPr>
            <w:r>
              <w:rPr>
                <w:rFonts w:ascii="宋体" w:hAnsi="宋体" w:cs="宋体"/>
              </w:rPr>
              <w:t>(</w:t>
            </w:r>
            <w:r>
              <w:rPr>
                <w:rFonts w:ascii="宋体" w:hAnsi="宋体" w:cs="宋体"/>
                <w:lang w:eastAsia="zh-CN"/>
              </w:rPr>
              <w:t>5</w:t>
            </w:r>
            <w:r>
              <w:rPr>
                <w:rFonts w:ascii="宋体" w:hAnsi="宋体" w:cs="宋体"/>
              </w:rPr>
              <w:t>0分)</w:t>
            </w:r>
          </w:p>
        </w:tc>
        <w:tc>
          <w:tcPr>
            <w:tcW w:w="3758" w:type="pct"/>
          </w:tcPr>
          <w:p w14:paraId="752E1795">
            <w:pPr>
              <w:pStyle w:val="59"/>
              <w:spacing w:line="400" w:lineRule="exact"/>
              <w:rPr>
                <w:rFonts w:hint="default"/>
              </w:rPr>
            </w:pPr>
            <w:r>
              <w:rPr>
                <w:rFonts w:ascii="宋体" w:hAnsi="宋体" w:cs="宋体"/>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63941420">
      <w:pPr>
        <w:spacing w:line="380" w:lineRule="exact"/>
        <w:rPr>
          <w:rFonts w:hint="eastAsia" w:ascii="仿宋" w:hAnsi="仿宋" w:eastAsia="仿宋" w:cs="仿宋"/>
          <w:sz w:val="24"/>
        </w:rPr>
      </w:pPr>
    </w:p>
    <w:p w14:paraId="42D50B8E">
      <w:pPr>
        <w:pStyle w:val="31"/>
        <w:ind w:firstLine="221"/>
      </w:pPr>
    </w:p>
    <w:p w14:paraId="02293110">
      <w:pPr>
        <w:pStyle w:val="3"/>
        <w:spacing w:line="560" w:lineRule="exact"/>
        <w:rPr>
          <w:rFonts w:hint="eastAsia" w:ascii="黑体" w:hAnsi="黑体" w:eastAsia="黑体" w:cs="黑体"/>
          <w:bCs/>
          <w:sz w:val="28"/>
          <w:szCs w:val="28"/>
        </w:rPr>
      </w:pPr>
      <w:r>
        <w:rPr>
          <w:rFonts w:hint="eastAsia"/>
        </w:rPr>
        <w:br w:type="page"/>
      </w:r>
      <w:bookmarkStart w:id="107" w:name="_Toc18226"/>
      <w:bookmarkStart w:id="108" w:name="_Toc237415677"/>
      <w:r>
        <w:rPr>
          <w:rFonts w:hint="eastAsia" w:ascii="黑体" w:hAnsi="黑体" w:eastAsia="黑体" w:cs="黑体"/>
          <w:bCs/>
          <w:sz w:val="28"/>
          <w:szCs w:val="28"/>
        </w:rPr>
        <w:t>F 授予合同</w:t>
      </w:r>
      <w:bookmarkEnd w:id="107"/>
      <w:bookmarkEnd w:id="108"/>
    </w:p>
    <w:p w14:paraId="014BEA90">
      <w:pPr>
        <w:pStyle w:val="4"/>
        <w:adjustRightInd w:val="0"/>
        <w:snapToGrid w:val="0"/>
        <w:spacing w:line="560" w:lineRule="exact"/>
        <w:rPr>
          <w:rFonts w:ascii="仿宋_GB2312" w:hAnsi="仿宋_GB2312" w:eastAsia="仿宋_GB2312" w:cs="仿宋_GB2312"/>
          <w:b/>
          <w:bCs/>
          <w:sz w:val="24"/>
        </w:rPr>
      </w:pPr>
      <w:bookmarkStart w:id="109" w:name="_Toc12163"/>
      <w:bookmarkStart w:id="110" w:name="_Toc237415678"/>
      <w:r>
        <w:rPr>
          <w:rFonts w:hint="eastAsia" w:ascii="仿宋_GB2312" w:hAnsi="仿宋_GB2312" w:eastAsia="仿宋_GB2312" w:cs="仿宋_GB2312"/>
          <w:b/>
          <w:bCs/>
          <w:sz w:val="24"/>
        </w:rPr>
        <w:t>31. 中选人的确定</w:t>
      </w:r>
      <w:bookmarkEnd w:id="109"/>
      <w:bookmarkEnd w:id="110"/>
    </w:p>
    <w:p w14:paraId="58724F2F">
      <w:pPr>
        <w:pStyle w:val="51"/>
        <w:numPr>
          <w:ilvl w:val="0"/>
          <w:numId w:val="0"/>
        </w:numPr>
        <w:adjustRightInd w:val="0"/>
        <w:snapToGrid w:val="0"/>
        <w:spacing w:line="560" w:lineRule="exact"/>
        <w:ind w:firstLine="442" w:firstLineChars="200"/>
        <w:rPr>
          <w:rFonts w:hint="default" w:cs="仿宋_GB2312"/>
        </w:rPr>
      </w:pPr>
      <w:r>
        <w:rPr>
          <w:rFonts w:cs="仿宋_GB2312"/>
        </w:rPr>
        <w:t>31.1本项目共推荐1名中选人，评审小组按分数高低推荐3名候选人（如最终参与评审的供应商不足3名，则按综合得分排序推荐同等人数），综合得分最高的作为第1中选人。采购人将把合同授予被确定为实质上响应竞磋文件的要求并具有履行合同能力的中选人。</w:t>
      </w:r>
    </w:p>
    <w:p w14:paraId="3454A9BE">
      <w:pPr>
        <w:pStyle w:val="51"/>
        <w:numPr>
          <w:ilvl w:val="0"/>
          <w:numId w:val="0"/>
        </w:numPr>
        <w:adjustRightInd w:val="0"/>
        <w:snapToGrid w:val="0"/>
        <w:spacing w:line="560" w:lineRule="exact"/>
        <w:ind w:firstLine="442" w:firstLineChars="200"/>
        <w:rPr>
          <w:rFonts w:hint="default" w:cs="仿宋_GB2312"/>
        </w:rPr>
      </w:pPr>
      <w:r>
        <w:rPr>
          <w:rFonts w:cs="仿宋_GB2312"/>
        </w:rPr>
        <w:t>31.2有以下情形的，采购人可以按照评审总得票排序依次递补中选候选人为中选人：</w:t>
      </w:r>
    </w:p>
    <w:p w14:paraId="2F00A56E">
      <w:pPr>
        <w:widowControl/>
        <w:numPr>
          <w:ilvl w:val="0"/>
          <w:numId w:val="12"/>
        </w:numPr>
        <w:adjustRightInd w:val="0"/>
        <w:snapToGrid w:val="0"/>
        <w:spacing w:line="560" w:lineRule="exact"/>
        <w:ind w:firstLine="884" w:firstLineChars="400"/>
        <w:jc w:val="left"/>
        <w:rPr>
          <w:rFonts w:ascii="仿宋_GB2312" w:hAnsi="仿宋_GB2312" w:eastAsia="仿宋_GB2312" w:cs="仿宋_GB2312"/>
          <w:sz w:val="24"/>
        </w:rPr>
      </w:pPr>
      <w:r>
        <w:rPr>
          <w:rFonts w:hint="eastAsia" w:ascii="仿宋_GB2312" w:hAnsi="仿宋_GB2312" w:eastAsia="仿宋_GB2312" w:cs="仿宋_GB2312"/>
          <w:sz w:val="24"/>
        </w:rPr>
        <w:t>中选人放弃或拒绝签订合同；</w:t>
      </w:r>
    </w:p>
    <w:p w14:paraId="46D74AC5">
      <w:pPr>
        <w:widowControl/>
        <w:numPr>
          <w:ilvl w:val="0"/>
          <w:numId w:val="12"/>
        </w:numPr>
        <w:adjustRightInd w:val="0"/>
        <w:snapToGrid w:val="0"/>
        <w:spacing w:line="560" w:lineRule="exact"/>
        <w:ind w:firstLine="884" w:firstLineChars="400"/>
        <w:jc w:val="left"/>
        <w:rPr>
          <w:rFonts w:ascii="仿宋_GB2312" w:hAnsi="仿宋_GB2312" w:eastAsia="仿宋_GB2312" w:cs="仿宋_GB2312"/>
          <w:sz w:val="24"/>
        </w:rPr>
      </w:pPr>
      <w:r>
        <w:rPr>
          <w:rFonts w:hint="eastAsia" w:ascii="仿宋_GB2312" w:hAnsi="仿宋_GB2312" w:eastAsia="仿宋_GB2312" w:cs="仿宋_GB2312"/>
          <w:sz w:val="24"/>
        </w:rPr>
        <w:t>因不可抗力提出无法履行合同。</w:t>
      </w:r>
    </w:p>
    <w:p w14:paraId="4C5C514A">
      <w:pPr>
        <w:pStyle w:val="51"/>
        <w:numPr>
          <w:ilvl w:val="0"/>
          <w:numId w:val="0"/>
        </w:numPr>
        <w:adjustRightInd w:val="0"/>
        <w:snapToGrid w:val="0"/>
        <w:spacing w:line="560" w:lineRule="exact"/>
        <w:ind w:firstLine="442" w:firstLineChars="200"/>
        <w:rPr>
          <w:rFonts w:hint="default" w:cs="仿宋_GB2312"/>
        </w:rPr>
      </w:pPr>
      <w:r>
        <w:rPr>
          <w:rFonts w:cs="仿宋_GB2312"/>
        </w:rPr>
        <w:t>31.3出现下列情形之一的，应予取消竞磋结果：</w:t>
      </w:r>
    </w:p>
    <w:p w14:paraId="0CA7690A">
      <w:pPr>
        <w:widowControl/>
        <w:numPr>
          <w:ilvl w:val="0"/>
          <w:numId w:val="13"/>
        </w:numPr>
        <w:adjustRightInd w:val="0"/>
        <w:snapToGrid w:val="0"/>
        <w:spacing w:line="560" w:lineRule="exact"/>
        <w:ind w:firstLine="884" w:firstLineChars="400"/>
        <w:jc w:val="left"/>
        <w:rPr>
          <w:rFonts w:ascii="仿宋_GB2312" w:hAnsi="仿宋_GB2312" w:eastAsia="仿宋_GB2312" w:cs="仿宋_GB2312"/>
          <w:sz w:val="24"/>
        </w:rPr>
      </w:pPr>
      <w:r>
        <w:rPr>
          <w:rFonts w:hint="eastAsia" w:ascii="仿宋_GB2312" w:hAnsi="仿宋_GB2312" w:eastAsia="仿宋_GB2312" w:cs="仿宋_GB2312"/>
          <w:sz w:val="24"/>
        </w:rPr>
        <w:t>发生影响竞磋公平、公正的违法、违规行为的；</w:t>
      </w:r>
    </w:p>
    <w:p w14:paraId="0D75605B">
      <w:pPr>
        <w:widowControl/>
        <w:numPr>
          <w:ilvl w:val="0"/>
          <w:numId w:val="13"/>
        </w:numPr>
        <w:adjustRightInd w:val="0"/>
        <w:snapToGrid w:val="0"/>
        <w:spacing w:line="560" w:lineRule="exact"/>
        <w:ind w:firstLine="884" w:firstLineChars="400"/>
        <w:jc w:val="left"/>
        <w:rPr>
          <w:rFonts w:ascii="仿宋_GB2312" w:hAnsi="仿宋_GB2312" w:eastAsia="仿宋_GB2312" w:cs="仿宋_GB2312"/>
          <w:sz w:val="24"/>
        </w:rPr>
      </w:pPr>
      <w:r>
        <w:rPr>
          <w:rFonts w:hint="eastAsia" w:ascii="仿宋_GB2312" w:hAnsi="仿宋_GB2312" w:eastAsia="仿宋_GB2312" w:cs="仿宋_GB2312"/>
          <w:sz w:val="24"/>
        </w:rPr>
        <w:t>因重大变故，竞磋任务取消的。</w:t>
      </w:r>
    </w:p>
    <w:p w14:paraId="6AFE2D9E">
      <w:pPr>
        <w:pStyle w:val="4"/>
        <w:numPr>
          <w:ilvl w:val="0"/>
          <w:numId w:val="14"/>
        </w:numPr>
        <w:adjustRightInd w:val="0"/>
        <w:snapToGrid w:val="0"/>
        <w:spacing w:line="560" w:lineRule="exact"/>
        <w:rPr>
          <w:rFonts w:ascii="仿宋_GB2312" w:hAnsi="仿宋_GB2312" w:eastAsia="仿宋_GB2312" w:cs="仿宋_GB2312"/>
          <w:b/>
          <w:bCs/>
          <w:sz w:val="24"/>
        </w:rPr>
      </w:pPr>
      <w:bookmarkStart w:id="111" w:name="_Toc4055"/>
      <w:bookmarkStart w:id="112" w:name="_Toc237415679"/>
      <w:r>
        <w:rPr>
          <w:rFonts w:hint="eastAsia" w:ascii="仿宋_GB2312" w:hAnsi="仿宋_GB2312" w:eastAsia="仿宋_GB2312" w:cs="仿宋_GB2312"/>
          <w:b/>
          <w:bCs/>
          <w:sz w:val="24"/>
        </w:rPr>
        <w:t>竞磋结果公示</w:t>
      </w:r>
      <w:bookmarkEnd w:id="111"/>
      <w:bookmarkEnd w:id="112"/>
    </w:p>
    <w:p w14:paraId="3428E6D5">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采购人将在南方医科大学中西医结合医院院内公示竞磋结果，公示期为1天。</w:t>
      </w:r>
    </w:p>
    <w:p w14:paraId="202C4A87">
      <w:pPr>
        <w:pStyle w:val="4"/>
        <w:numPr>
          <w:ilvl w:val="0"/>
          <w:numId w:val="14"/>
        </w:numPr>
        <w:adjustRightInd w:val="0"/>
        <w:snapToGrid w:val="0"/>
        <w:spacing w:line="560" w:lineRule="exact"/>
        <w:rPr>
          <w:rFonts w:ascii="仿宋_GB2312" w:hAnsi="仿宋_GB2312" w:eastAsia="仿宋_GB2312" w:cs="仿宋_GB2312"/>
          <w:b/>
          <w:bCs/>
          <w:sz w:val="24"/>
        </w:rPr>
      </w:pPr>
      <w:bookmarkStart w:id="113" w:name="_Toc237415680"/>
      <w:bookmarkStart w:id="114" w:name="_Toc21171"/>
      <w:r>
        <w:rPr>
          <w:rFonts w:hint="eastAsia" w:ascii="仿宋_GB2312" w:hAnsi="仿宋_GB2312" w:eastAsia="仿宋_GB2312" w:cs="仿宋_GB2312"/>
          <w:b/>
          <w:bCs/>
          <w:sz w:val="24"/>
        </w:rPr>
        <w:t>质疑和投诉</w:t>
      </w:r>
      <w:bookmarkEnd w:id="113"/>
      <w:bookmarkEnd w:id="114"/>
    </w:p>
    <w:p w14:paraId="5E33EC04">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33.1供应商对竞磋过程或评审结果有质疑或投诉的，可以在知道或者应知其权益受到损害之日起7个工作日内，向采购人提出质疑，针对同一竞磋环节的质疑应以书面形式一次性提出。但需对质疑或投诉内容的真实性承担责任。质疑或投诉必须是书面的，并加盖供应商公章及由法定代表人或其授权代表签署或盖章。采购人将拒收未按规定在质疑期内发出的质疑函。</w:t>
      </w:r>
    </w:p>
    <w:p w14:paraId="08F24088">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33.2 供应商对中选公告内容有异议的，应在公告发布之日起3个工作日内，按如下联系方式以书面形式向采购人提出质疑。采购人应在收到供应商书面质疑后7个工作日内，对质疑内容作出答复。</w:t>
      </w:r>
    </w:p>
    <w:p w14:paraId="50A2442C">
      <w:pPr>
        <w:pStyle w:val="51"/>
        <w:numPr>
          <w:ilvl w:val="0"/>
          <w:numId w:val="0"/>
        </w:numPr>
        <w:adjustRightInd w:val="0"/>
        <w:snapToGrid w:val="0"/>
        <w:spacing w:line="560" w:lineRule="exact"/>
        <w:ind w:firstLine="442" w:firstLineChars="200"/>
        <w:rPr>
          <w:rFonts w:hint="default" w:cs="仿宋_GB2312"/>
        </w:rPr>
      </w:pPr>
      <w:r>
        <w:rPr>
          <w:rFonts w:cs="仿宋_GB2312"/>
        </w:rPr>
        <w:t>33</w:t>
      </w:r>
      <w:r>
        <w:rPr>
          <w:rFonts w:cs="仿宋_GB2312"/>
          <w:kern w:val="2"/>
        </w:rPr>
        <w:t xml:space="preserve">.3 质疑联系方式：联系人： 招标办公室  电话： 02061650036         </w:t>
      </w:r>
    </w:p>
    <w:p w14:paraId="7C1E309C">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33.4 对采购人的答复不满意或他们未在规定时间内给予答复的，提出质疑的供应商可以在答复期满后15个工作日内，向医院监督部门投诉。</w:t>
      </w:r>
    </w:p>
    <w:p w14:paraId="2D3BCEB4">
      <w:pPr>
        <w:pStyle w:val="4"/>
        <w:adjustRightInd w:val="0"/>
        <w:snapToGrid w:val="0"/>
        <w:spacing w:line="560" w:lineRule="exact"/>
        <w:rPr>
          <w:rFonts w:ascii="仿宋_GB2312" w:hAnsi="仿宋_GB2312" w:eastAsia="仿宋_GB2312" w:cs="仿宋_GB2312"/>
          <w:b/>
          <w:bCs/>
          <w:sz w:val="24"/>
        </w:rPr>
      </w:pPr>
      <w:bookmarkStart w:id="115" w:name="_Toc237415681"/>
      <w:bookmarkStart w:id="116" w:name="_Toc3976"/>
      <w:r>
        <w:rPr>
          <w:rFonts w:hint="eastAsia" w:ascii="仿宋_GB2312" w:hAnsi="仿宋_GB2312" w:eastAsia="仿宋_GB2312" w:cs="仿宋_GB2312"/>
          <w:b/>
          <w:bCs/>
          <w:sz w:val="24"/>
        </w:rPr>
        <w:t>34. 中选及中选结果通知</w:t>
      </w:r>
      <w:bookmarkEnd w:id="115"/>
      <w:bookmarkEnd w:id="116"/>
    </w:p>
    <w:p w14:paraId="6A7596F2">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34.1中选结果公告发布的同时，采购人向中选人书面发出经采购人确认的《成交通知书》；中选人收到《成交通知书》后以书面形式向采购人确认。</w:t>
      </w:r>
    </w:p>
    <w:p w14:paraId="3C2CADA9">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34.2《成交通知书》是合同的一个组成部分，对采购人和中选人具有同等法律效力；《成交通知书》发出后，采购人改变中选结果，或者中选人放弃中选，均应承担相应的法律责任。</w:t>
      </w:r>
    </w:p>
    <w:p w14:paraId="190F0DE1">
      <w:pPr>
        <w:pStyle w:val="4"/>
        <w:numPr>
          <w:ilvl w:val="0"/>
          <w:numId w:val="15"/>
        </w:numPr>
        <w:adjustRightInd w:val="0"/>
        <w:snapToGrid w:val="0"/>
        <w:spacing w:line="560" w:lineRule="exact"/>
        <w:rPr>
          <w:rFonts w:ascii="仿宋_GB2312" w:hAnsi="仿宋_GB2312" w:eastAsia="仿宋_GB2312" w:cs="仿宋_GB2312"/>
          <w:b/>
          <w:bCs/>
          <w:sz w:val="24"/>
        </w:rPr>
      </w:pPr>
      <w:bookmarkStart w:id="117" w:name="_Toc30205"/>
      <w:bookmarkStart w:id="118" w:name="_Toc237415682"/>
      <w:r>
        <w:rPr>
          <w:rFonts w:hint="eastAsia" w:ascii="仿宋_GB2312" w:hAnsi="仿宋_GB2312" w:eastAsia="仿宋_GB2312" w:cs="仿宋_GB2312"/>
          <w:b/>
          <w:bCs/>
          <w:sz w:val="24"/>
        </w:rPr>
        <w:t>签订合同</w:t>
      </w:r>
      <w:bookmarkEnd w:id="117"/>
      <w:bookmarkEnd w:id="118"/>
    </w:p>
    <w:p w14:paraId="71943046">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35.1中选人在收到《成交通知书》后，派遣其授权代表与采购人签署合同。</w:t>
      </w:r>
    </w:p>
    <w:p w14:paraId="5D0CEED4">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35.2合同的组成基于，但不限于以下部分：</w:t>
      </w:r>
    </w:p>
    <w:p w14:paraId="54332F87">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（1）合同书；</w:t>
      </w:r>
    </w:p>
    <w:p w14:paraId="4AB33931">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（2）成交通知书；</w:t>
      </w:r>
    </w:p>
    <w:p w14:paraId="58A5DCE6">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（3）竞磋文件及其澄清、修改及补充文件；</w:t>
      </w:r>
    </w:p>
    <w:p w14:paraId="6E18440F">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（4）中选人的参选文件及其澄清、修改及补充文件。</w:t>
      </w:r>
    </w:p>
    <w:p w14:paraId="33F7F1DB">
      <w:pPr>
        <w:pStyle w:val="4"/>
        <w:adjustRightInd w:val="0"/>
        <w:snapToGrid w:val="0"/>
        <w:spacing w:line="560" w:lineRule="exact"/>
        <w:rPr>
          <w:rFonts w:ascii="仿宋_GB2312" w:hAnsi="仿宋_GB2312" w:eastAsia="仿宋_GB2312" w:cs="仿宋_GB2312"/>
          <w:b/>
          <w:bCs/>
          <w:sz w:val="24"/>
        </w:rPr>
      </w:pPr>
      <w:bookmarkStart w:id="119" w:name="_Toc9266"/>
      <w:bookmarkStart w:id="120" w:name="_Toc237415683"/>
      <w:r>
        <w:rPr>
          <w:rFonts w:hint="eastAsia" w:ascii="仿宋_GB2312" w:hAnsi="仿宋_GB2312" w:eastAsia="仿宋_GB2312" w:cs="仿宋_GB2312"/>
          <w:b/>
          <w:bCs/>
          <w:sz w:val="24"/>
        </w:rPr>
        <w:t>36. 竞磋文件的解释</w:t>
      </w:r>
      <w:bookmarkEnd w:id="119"/>
      <w:bookmarkEnd w:id="120"/>
    </w:p>
    <w:p w14:paraId="4A062285">
      <w:pPr>
        <w:adjustRightInd w:val="0"/>
        <w:snapToGrid w:val="0"/>
        <w:spacing w:line="560" w:lineRule="exact"/>
        <w:ind w:firstLine="442" w:firstLineChars="200"/>
        <w:rPr>
          <w:rFonts w:ascii="Arial Unicode MS" w:hAnsi="Arial Unicode MS" w:cs="宋体"/>
          <w:bCs/>
          <w:sz w:val="24"/>
        </w:rPr>
      </w:pPr>
      <w:r>
        <w:rPr>
          <w:rFonts w:hint="eastAsia" w:ascii="仿宋_GB2312" w:hAnsi="仿宋_GB2312" w:eastAsia="仿宋_GB2312" w:cs="仿宋_GB2312"/>
          <w:sz w:val="24"/>
        </w:rPr>
        <w:t>本竞磋文件由南方医科大学中西医结合医院招标办负责解释。</w:t>
      </w:r>
      <w:bookmarkEnd w:id="102"/>
      <w:bookmarkEnd w:id="103"/>
      <w:bookmarkEnd w:id="104"/>
    </w:p>
    <w:p w14:paraId="6867187D">
      <w:pPr>
        <w:adjustRightInd w:val="0"/>
        <w:snapToGrid w:val="0"/>
        <w:spacing w:line="560" w:lineRule="exact"/>
        <w:jc w:val="center"/>
        <w:outlineLvl w:val="0"/>
        <w:rPr>
          <w:rFonts w:ascii="Arial Unicode MS" w:hAnsi="Arial Unicode MS" w:cs="宋体"/>
          <w:bCs/>
          <w:sz w:val="24"/>
          <w:szCs w:val="32"/>
        </w:rPr>
        <w:sectPr>
          <w:footerReference r:id="rId7" w:type="first"/>
          <w:pgSz w:w="11906" w:h="16838"/>
          <w:pgMar w:top="1418" w:right="1134" w:bottom="1134" w:left="1418" w:header="851" w:footer="992" w:gutter="0"/>
          <w:cols w:space="720" w:num="1"/>
          <w:titlePg/>
          <w:docGrid w:type="linesAndChars" w:linePitch="291" w:charSpace="-3913"/>
        </w:sectPr>
      </w:pPr>
    </w:p>
    <w:p w14:paraId="56235AE3">
      <w:pPr>
        <w:numPr>
          <w:ilvl w:val="0"/>
          <w:numId w:val="4"/>
        </w:numPr>
        <w:tabs>
          <w:tab w:val="left" w:pos="3765"/>
        </w:tabs>
        <w:adjustRightInd w:val="0"/>
        <w:snapToGrid w:val="0"/>
        <w:spacing w:line="560" w:lineRule="exact"/>
        <w:jc w:val="center"/>
        <w:outlineLvl w:val="0"/>
        <w:rPr>
          <w:rFonts w:hint="eastAsia" w:ascii="方正小标宋简体" w:hAnsi="方正小标宋简体" w:eastAsia="方正小标宋简体" w:cs="方正小标宋简体"/>
          <w:sz w:val="32"/>
          <w:szCs w:val="32"/>
        </w:rPr>
      </w:pPr>
      <w:bookmarkStart w:id="121" w:name="_Toc2946"/>
      <w:bookmarkStart w:id="122" w:name="_Toc237415684"/>
      <w:r>
        <w:rPr>
          <w:rFonts w:hint="eastAsia" w:ascii="方正小标宋简体" w:hAnsi="方正小标宋简体" w:eastAsia="方正小标宋简体" w:cs="方正小标宋简体"/>
          <w:sz w:val="32"/>
          <w:szCs w:val="32"/>
        </w:rPr>
        <w:t>合同条款</w:t>
      </w:r>
      <w:bookmarkEnd w:id="121"/>
      <w:bookmarkEnd w:id="122"/>
    </w:p>
    <w:p w14:paraId="25628A63">
      <w:pPr>
        <w:spacing w:line="560" w:lineRule="exact"/>
        <w:jc w:val="center"/>
        <w:outlineLvl w:val="0"/>
        <w:rPr>
          <w:rFonts w:hint="eastAsia" w:ascii="楷体" w:hAnsi="楷体" w:eastAsia="楷体" w:cs="楷体"/>
          <w:sz w:val="24"/>
        </w:rPr>
      </w:pPr>
      <w:bookmarkStart w:id="123" w:name="_Toc15040"/>
      <w:bookmarkStart w:id="124" w:name="_Toc31672"/>
      <w:bookmarkStart w:id="125" w:name="_Toc237415685"/>
      <w:bookmarkStart w:id="126" w:name="_Toc10720"/>
      <w:r>
        <w:rPr>
          <w:rFonts w:hint="eastAsia" w:ascii="楷体" w:hAnsi="楷体" w:eastAsia="楷体" w:cs="楷体"/>
          <w:sz w:val="24"/>
        </w:rPr>
        <w:t>（参考模板，最终合同以院方与中选人协商确定）</w:t>
      </w:r>
      <w:bookmarkEnd w:id="123"/>
      <w:bookmarkEnd w:id="124"/>
      <w:bookmarkEnd w:id="125"/>
      <w:bookmarkEnd w:id="126"/>
    </w:p>
    <w:p w14:paraId="5063BC39">
      <w:pPr>
        <w:spacing w:line="360" w:lineRule="auto"/>
        <w:jc w:val="center"/>
        <w:rPr>
          <w:rFonts w:hint="eastAsia" w:ascii="黑体" w:hAnsi="黑体" w:eastAsia="黑体"/>
          <w:b/>
          <w:sz w:val="36"/>
          <w:szCs w:val="36"/>
        </w:rPr>
      </w:pPr>
    </w:p>
    <w:p w14:paraId="1D38C2C2">
      <w:pPr>
        <w:spacing w:line="360" w:lineRule="auto"/>
        <w:jc w:val="center"/>
        <w:rPr>
          <w:rFonts w:hint="eastAsia" w:ascii="黑体" w:hAnsi="黑体" w:eastAsia="黑体"/>
          <w:b/>
          <w:sz w:val="36"/>
          <w:szCs w:val="36"/>
        </w:rPr>
      </w:pPr>
      <w:r>
        <w:rPr>
          <w:rFonts w:hint="eastAsia" w:ascii="黑体" w:hAnsi="黑体" w:eastAsia="黑体"/>
          <w:b/>
          <w:sz w:val="36"/>
          <w:szCs w:val="36"/>
        </w:rPr>
        <w:t>仪器设备采购合同</w:t>
      </w:r>
    </w:p>
    <w:p w14:paraId="25943D1B">
      <w:pPr>
        <w:spacing w:line="360" w:lineRule="auto"/>
        <w:jc w:val="center"/>
        <w:rPr>
          <w:rFonts w:hint="eastAsia" w:ascii="仿宋" w:hAnsi="仿宋" w:eastAsia="仿宋"/>
          <w:b/>
          <w:sz w:val="24"/>
        </w:rPr>
      </w:pPr>
      <w:r>
        <w:rPr>
          <w:rFonts w:hint="eastAsia" w:ascii="仿宋" w:hAnsi="仿宋" w:eastAsia="仿宋"/>
          <w:b/>
          <w:sz w:val="24"/>
        </w:rPr>
        <w:t>（参考模板，最终合同以院方与成交商协商确定）</w:t>
      </w:r>
    </w:p>
    <w:p w14:paraId="42F90A3A">
      <w:pPr>
        <w:spacing w:line="360" w:lineRule="auto"/>
        <w:rPr>
          <w:rFonts w:hint="eastAsia" w:ascii="宋体" w:hAnsi="宋体"/>
          <w:b/>
          <w:sz w:val="30"/>
          <w:szCs w:val="30"/>
        </w:rPr>
      </w:pPr>
      <w:r>
        <w:rPr>
          <w:rFonts w:hint="eastAsia" w:ascii="宋体" w:hAnsi="宋体"/>
          <w:b/>
          <w:sz w:val="30"/>
          <w:szCs w:val="30"/>
        </w:rPr>
        <w:t>甲  方：南方医科大学中西医结合医院</w:t>
      </w:r>
    </w:p>
    <w:p w14:paraId="670A2F9B">
      <w:pPr>
        <w:rPr>
          <w:rFonts w:hint="eastAsia" w:ascii="宋体" w:hAnsi="宋体"/>
          <w:b/>
          <w:sz w:val="24"/>
        </w:rPr>
      </w:pPr>
      <w:r>
        <w:rPr>
          <w:rFonts w:hint="eastAsia" w:ascii="宋体" w:hAnsi="宋体"/>
          <w:b/>
          <w:sz w:val="30"/>
          <w:szCs w:val="30"/>
        </w:rPr>
        <w:t xml:space="preserve">乙  方： </w:t>
      </w:r>
    </w:p>
    <w:p w14:paraId="0CD133AA">
      <w:pPr>
        <w:pStyle w:val="14"/>
        <w:spacing w:line="360" w:lineRule="auto"/>
        <w:ind w:left="1" w:firstLine="442"/>
        <w:rPr>
          <w:rFonts w:hint="eastAsia" w:ascii="仿宋" w:hAnsi="仿宋" w:eastAsia="仿宋"/>
          <w:sz w:val="24"/>
        </w:rPr>
      </w:pPr>
      <w:bookmarkStart w:id="127" w:name="_Toc1238"/>
      <w:bookmarkStart w:id="128" w:name="_Toc237415686"/>
    </w:p>
    <w:p w14:paraId="50B7B8E1">
      <w:pPr>
        <w:pStyle w:val="14"/>
        <w:spacing w:line="360" w:lineRule="auto"/>
        <w:ind w:left="1" w:firstLine="442"/>
        <w:rPr>
          <w:rFonts w:hint="eastAsia" w:ascii="仿宋" w:hAnsi="仿宋" w:eastAsia="仿宋"/>
          <w:sz w:val="24"/>
        </w:rPr>
      </w:pPr>
      <w:r>
        <w:rPr>
          <w:rFonts w:hint="eastAsia" w:ascii="仿宋" w:hAnsi="仿宋" w:eastAsia="仿宋"/>
          <w:sz w:val="24"/>
        </w:rPr>
        <w:t>根据《中华人民共和国民法典》及南方医科大学中西医结合医院</w:t>
      </w:r>
      <w:r>
        <w:rPr>
          <w:rFonts w:ascii="仿宋" w:hAnsi="仿宋" w:eastAsia="仿宋"/>
          <w:sz w:val="24"/>
          <w:u w:val="single"/>
        </w:rPr>
        <w:t>NFZXY</w:t>
      </w:r>
      <w:r>
        <w:rPr>
          <w:rFonts w:hint="eastAsia" w:ascii="仿宋" w:hAnsi="仿宋" w:eastAsia="仿宋"/>
          <w:sz w:val="24"/>
          <w:u w:val="single"/>
        </w:rPr>
        <w:t>202</w:t>
      </w:r>
      <w:r>
        <w:rPr>
          <w:rFonts w:ascii="仿宋" w:hAnsi="仿宋" w:eastAsia="仿宋"/>
          <w:sz w:val="24"/>
          <w:u w:val="single"/>
        </w:rPr>
        <w:t>6</w:t>
      </w:r>
      <w:r>
        <w:rPr>
          <w:rFonts w:hint="eastAsia" w:ascii="仿宋" w:hAnsi="仿宋" w:eastAsia="仿宋"/>
          <w:sz w:val="24"/>
          <w:u w:val="single"/>
        </w:rPr>
        <w:t xml:space="preserve">0000X   </w:t>
      </w:r>
      <w:r>
        <w:rPr>
          <w:rFonts w:hint="eastAsia" w:ascii="仿宋" w:hAnsi="仿宋" w:eastAsia="仿宋"/>
          <w:sz w:val="24"/>
        </w:rPr>
        <w:t>号</w:t>
      </w:r>
      <w:r>
        <w:rPr>
          <w:rFonts w:hint="eastAsia" w:ascii="仿宋" w:hAnsi="仿宋" w:eastAsia="仿宋"/>
          <w:sz w:val="24"/>
          <w:u w:val="single"/>
        </w:rPr>
        <w:t xml:space="preserve"> XXXXX </w:t>
      </w:r>
      <w:r>
        <w:rPr>
          <w:rFonts w:hint="eastAsia" w:ascii="仿宋" w:hAnsi="仿宋" w:eastAsia="仿宋"/>
          <w:sz w:val="24"/>
        </w:rPr>
        <w:t>采购项目，甲、乙双方经协商确定，甲方向乙方采购下列设备及其服务，为明确双方责任和权利，特签订本合同，共同遵守。具体条款如下：</w:t>
      </w:r>
      <w:bookmarkEnd w:id="127"/>
      <w:bookmarkEnd w:id="128"/>
    </w:p>
    <w:p w14:paraId="333C6B74">
      <w:pPr>
        <w:spacing w:line="360" w:lineRule="auto"/>
        <w:ind w:firstLine="542" w:firstLineChars="245"/>
        <w:rPr>
          <w:rFonts w:hint="eastAsia" w:ascii="仿宋" w:hAnsi="仿宋" w:eastAsia="仿宋"/>
          <w:b/>
          <w:sz w:val="24"/>
        </w:rPr>
      </w:pPr>
      <w:r>
        <w:rPr>
          <w:rFonts w:hint="eastAsia" w:ascii="仿宋" w:hAnsi="仿宋" w:eastAsia="仿宋"/>
          <w:b/>
          <w:sz w:val="24"/>
        </w:rPr>
        <w:t>1.合同设备</w:t>
      </w:r>
    </w:p>
    <w:p w14:paraId="2FF30135">
      <w:pPr>
        <w:spacing w:line="360" w:lineRule="auto"/>
        <w:ind w:firstLine="540"/>
        <w:rPr>
          <w:rFonts w:hint="eastAsia" w:ascii="仿宋" w:hAnsi="仿宋" w:eastAsia="仿宋"/>
          <w:sz w:val="24"/>
        </w:rPr>
      </w:pPr>
      <w:r>
        <w:rPr>
          <w:rFonts w:hint="eastAsia" w:ascii="仿宋" w:hAnsi="仿宋" w:eastAsia="仿宋"/>
          <w:sz w:val="24"/>
        </w:rPr>
        <w:t>乙方负责向甲方供应下表中所列设备:</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1299"/>
        <w:gridCol w:w="1428"/>
        <w:gridCol w:w="779"/>
        <w:gridCol w:w="648"/>
        <w:gridCol w:w="1168"/>
        <w:gridCol w:w="1299"/>
        <w:gridCol w:w="1164"/>
      </w:tblGrid>
      <w:tr w14:paraId="0885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34" w:type="pct"/>
          </w:tcPr>
          <w:p w14:paraId="18820D59">
            <w:pPr>
              <w:spacing w:line="360" w:lineRule="auto"/>
              <w:ind w:left="-1" w:leftChars="-1" w:firstLine="2" w:firstLineChars="1"/>
              <w:jc w:val="center"/>
              <w:rPr>
                <w:rFonts w:hint="eastAsia" w:ascii="仿宋" w:hAnsi="仿宋" w:eastAsia="仿宋"/>
                <w:szCs w:val="21"/>
              </w:rPr>
            </w:pPr>
            <w:r>
              <w:rPr>
                <w:rFonts w:hint="eastAsia" w:ascii="仿宋" w:hAnsi="仿宋" w:eastAsia="仿宋"/>
                <w:szCs w:val="21"/>
              </w:rPr>
              <w:t>品名</w:t>
            </w:r>
          </w:p>
        </w:tc>
        <w:tc>
          <w:tcPr>
            <w:tcW w:w="695" w:type="pct"/>
          </w:tcPr>
          <w:p w14:paraId="5046C08F">
            <w:pPr>
              <w:spacing w:line="360" w:lineRule="auto"/>
              <w:jc w:val="center"/>
              <w:rPr>
                <w:rFonts w:hint="eastAsia" w:ascii="仿宋" w:hAnsi="仿宋" w:eastAsia="仿宋"/>
                <w:szCs w:val="21"/>
              </w:rPr>
            </w:pPr>
            <w:r>
              <w:rPr>
                <w:rFonts w:hint="eastAsia" w:ascii="仿宋" w:hAnsi="仿宋" w:eastAsia="仿宋"/>
                <w:szCs w:val="21"/>
              </w:rPr>
              <w:t>规格/型号</w:t>
            </w:r>
          </w:p>
        </w:tc>
        <w:tc>
          <w:tcPr>
            <w:tcW w:w="764" w:type="pct"/>
          </w:tcPr>
          <w:p w14:paraId="455614C0">
            <w:pPr>
              <w:spacing w:line="360" w:lineRule="auto"/>
              <w:jc w:val="center"/>
              <w:rPr>
                <w:rFonts w:hint="eastAsia" w:ascii="仿宋" w:hAnsi="仿宋" w:eastAsia="仿宋"/>
                <w:szCs w:val="21"/>
              </w:rPr>
            </w:pPr>
            <w:r>
              <w:rPr>
                <w:rFonts w:hint="eastAsia" w:ascii="仿宋" w:hAnsi="仿宋" w:eastAsia="仿宋"/>
                <w:szCs w:val="21"/>
              </w:rPr>
              <w:t>产地厂家</w:t>
            </w:r>
          </w:p>
        </w:tc>
        <w:tc>
          <w:tcPr>
            <w:tcW w:w="417" w:type="pct"/>
          </w:tcPr>
          <w:p w14:paraId="1266EBAF">
            <w:pPr>
              <w:spacing w:line="360" w:lineRule="auto"/>
              <w:jc w:val="center"/>
              <w:rPr>
                <w:rFonts w:hint="eastAsia" w:ascii="仿宋" w:hAnsi="仿宋" w:eastAsia="仿宋"/>
                <w:szCs w:val="21"/>
              </w:rPr>
            </w:pPr>
            <w:r>
              <w:rPr>
                <w:rFonts w:hint="eastAsia" w:ascii="仿宋" w:hAnsi="仿宋" w:eastAsia="仿宋"/>
                <w:szCs w:val="21"/>
              </w:rPr>
              <w:t>单位</w:t>
            </w:r>
          </w:p>
        </w:tc>
        <w:tc>
          <w:tcPr>
            <w:tcW w:w="347" w:type="pct"/>
          </w:tcPr>
          <w:p w14:paraId="116C5B90">
            <w:pPr>
              <w:spacing w:line="360" w:lineRule="auto"/>
              <w:jc w:val="center"/>
              <w:rPr>
                <w:rFonts w:hint="eastAsia" w:ascii="仿宋" w:hAnsi="仿宋" w:eastAsia="仿宋"/>
                <w:szCs w:val="21"/>
              </w:rPr>
            </w:pPr>
            <w:r>
              <w:rPr>
                <w:rFonts w:hint="eastAsia" w:ascii="仿宋" w:hAnsi="仿宋" w:eastAsia="仿宋"/>
                <w:szCs w:val="21"/>
              </w:rPr>
              <w:t>数量</w:t>
            </w:r>
          </w:p>
        </w:tc>
        <w:tc>
          <w:tcPr>
            <w:tcW w:w="625" w:type="pct"/>
          </w:tcPr>
          <w:p w14:paraId="050165A1">
            <w:pPr>
              <w:spacing w:line="360" w:lineRule="auto"/>
              <w:jc w:val="center"/>
              <w:rPr>
                <w:rFonts w:hint="eastAsia" w:ascii="仿宋" w:hAnsi="仿宋" w:eastAsia="仿宋"/>
                <w:szCs w:val="21"/>
              </w:rPr>
            </w:pPr>
            <w:r>
              <w:rPr>
                <w:rFonts w:hint="eastAsia" w:ascii="仿宋" w:hAnsi="仿宋" w:eastAsia="仿宋"/>
                <w:szCs w:val="21"/>
              </w:rPr>
              <w:t>单价</w:t>
            </w:r>
          </w:p>
        </w:tc>
        <w:tc>
          <w:tcPr>
            <w:tcW w:w="695" w:type="pct"/>
          </w:tcPr>
          <w:p w14:paraId="21A47B73">
            <w:pPr>
              <w:spacing w:line="360" w:lineRule="auto"/>
              <w:jc w:val="center"/>
              <w:rPr>
                <w:rFonts w:hint="eastAsia" w:ascii="仿宋" w:hAnsi="仿宋" w:eastAsia="仿宋"/>
                <w:szCs w:val="21"/>
              </w:rPr>
            </w:pPr>
            <w:r>
              <w:rPr>
                <w:rFonts w:hint="eastAsia" w:ascii="仿宋" w:hAnsi="仿宋" w:eastAsia="仿宋"/>
                <w:szCs w:val="21"/>
              </w:rPr>
              <w:t>总价</w:t>
            </w:r>
          </w:p>
        </w:tc>
        <w:tc>
          <w:tcPr>
            <w:tcW w:w="624" w:type="pct"/>
          </w:tcPr>
          <w:p w14:paraId="3E20B9D4">
            <w:pPr>
              <w:widowControl/>
              <w:spacing w:line="360" w:lineRule="auto"/>
              <w:jc w:val="left"/>
              <w:rPr>
                <w:rFonts w:hint="eastAsia" w:ascii="仿宋" w:hAnsi="仿宋" w:eastAsia="仿宋"/>
                <w:szCs w:val="21"/>
              </w:rPr>
            </w:pPr>
            <w:r>
              <w:rPr>
                <w:rFonts w:hint="eastAsia" w:ascii="仿宋" w:hAnsi="仿宋" w:eastAsia="仿宋"/>
                <w:szCs w:val="21"/>
              </w:rPr>
              <w:t>备注</w:t>
            </w:r>
          </w:p>
        </w:tc>
      </w:tr>
      <w:tr w14:paraId="14DE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834" w:type="pct"/>
            <w:vAlign w:val="center"/>
          </w:tcPr>
          <w:p w14:paraId="0EFE02AD">
            <w:pPr>
              <w:jc w:val="center"/>
              <w:rPr>
                <w:rFonts w:hint="eastAsia" w:ascii="仿宋" w:hAnsi="仿宋" w:eastAsia="仿宋"/>
                <w:sz w:val="24"/>
              </w:rPr>
            </w:pPr>
          </w:p>
        </w:tc>
        <w:tc>
          <w:tcPr>
            <w:tcW w:w="695" w:type="pct"/>
            <w:vAlign w:val="center"/>
          </w:tcPr>
          <w:p w14:paraId="41B9657D">
            <w:pPr>
              <w:jc w:val="center"/>
              <w:rPr>
                <w:rFonts w:hint="eastAsia" w:ascii="仿宋" w:hAnsi="仿宋" w:eastAsia="仿宋"/>
                <w:sz w:val="24"/>
              </w:rPr>
            </w:pPr>
          </w:p>
        </w:tc>
        <w:tc>
          <w:tcPr>
            <w:tcW w:w="764" w:type="pct"/>
            <w:vAlign w:val="center"/>
          </w:tcPr>
          <w:p w14:paraId="0077408F">
            <w:pPr>
              <w:rPr>
                <w:rFonts w:hint="eastAsia" w:ascii="仿宋" w:hAnsi="仿宋" w:eastAsia="仿宋"/>
                <w:sz w:val="24"/>
              </w:rPr>
            </w:pPr>
          </w:p>
        </w:tc>
        <w:tc>
          <w:tcPr>
            <w:tcW w:w="417" w:type="pct"/>
            <w:vAlign w:val="center"/>
          </w:tcPr>
          <w:p w14:paraId="79F460BF">
            <w:pPr>
              <w:jc w:val="center"/>
              <w:rPr>
                <w:rFonts w:hint="eastAsia" w:ascii="仿宋" w:hAnsi="仿宋" w:eastAsia="仿宋"/>
                <w:sz w:val="24"/>
              </w:rPr>
            </w:pPr>
          </w:p>
        </w:tc>
        <w:tc>
          <w:tcPr>
            <w:tcW w:w="347" w:type="pct"/>
            <w:vAlign w:val="center"/>
          </w:tcPr>
          <w:p w14:paraId="2F308570">
            <w:pPr>
              <w:jc w:val="center"/>
              <w:rPr>
                <w:rFonts w:hint="eastAsia" w:ascii="仿宋" w:hAnsi="仿宋" w:eastAsia="仿宋"/>
                <w:sz w:val="24"/>
              </w:rPr>
            </w:pPr>
          </w:p>
        </w:tc>
        <w:tc>
          <w:tcPr>
            <w:tcW w:w="625" w:type="pct"/>
            <w:vAlign w:val="center"/>
          </w:tcPr>
          <w:p w14:paraId="737BD70D">
            <w:pPr>
              <w:jc w:val="center"/>
              <w:rPr>
                <w:rFonts w:hint="eastAsia" w:ascii="仿宋" w:hAnsi="仿宋" w:eastAsia="仿宋"/>
                <w:sz w:val="24"/>
              </w:rPr>
            </w:pPr>
          </w:p>
        </w:tc>
        <w:tc>
          <w:tcPr>
            <w:tcW w:w="695" w:type="pct"/>
            <w:vAlign w:val="center"/>
          </w:tcPr>
          <w:p w14:paraId="70F604DB">
            <w:pPr>
              <w:jc w:val="center"/>
              <w:rPr>
                <w:rFonts w:hint="eastAsia" w:ascii="仿宋" w:hAnsi="仿宋" w:eastAsia="仿宋"/>
                <w:sz w:val="24"/>
              </w:rPr>
            </w:pPr>
          </w:p>
        </w:tc>
        <w:tc>
          <w:tcPr>
            <w:tcW w:w="624" w:type="pct"/>
            <w:vAlign w:val="center"/>
          </w:tcPr>
          <w:p w14:paraId="29253E92">
            <w:pPr>
              <w:jc w:val="center"/>
              <w:rPr>
                <w:rFonts w:hint="eastAsia" w:ascii="宋体" w:hAnsi="宋体"/>
                <w:sz w:val="24"/>
              </w:rPr>
            </w:pPr>
          </w:p>
        </w:tc>
      </w:tr>
      <w:tr w14:paraId="17C9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5000" w:type="pct"/>
            <w:gridSpan w:val="8"/>
          </w:tcPr>
          <w:p w14:paraId="29B17459">
            <w:pPr>
              <w:widowControl/>
              <w:spacing w:line="360" w:lineRule="auto"/>
              <w:jc w:val="left"/>
              <w:rPr>
                <w:rFonts w:hint="eastAsia" w:ascii="仿宋" w:hAnsi="仿宋" w:eastAsia="仿宋"/>
                <w:sz w:val="24"/>
              </w:rPr>
            </w:pPr>
            <w:r>
              <w:rPr>
                <w:rFonts w:hint="eastAsia" w:ascii="仿宋" w:hAnsi="仿宋" w:eastAsia="仿宋"/>
                <w:sz w:val="24"/>
              </w:rPr>
              <w:t>总计金额：</w:t>
            </w:r>
            <w:bookmarkStart w:id="129" w:name="OLE_LINK7"/>
            <w:bookmarkStart w:id="130" w:name="OLE_LINK9"/>
            <w:bookmarkStart w:id="131" w:name="OLE_LINK8"/>
            <w:r>
              <w:rPr>
                <w:rFonts w:hint="eastAsia" w:ascii="仿宋" w:hAnsi="仿宋" w:eastAsia="仿宋"/>
                <w:sz w:val="24"/>
              </w:rPr>
              <w:t>人民币</w:t>
            </w:r>
            <w:r>
              <w:rPr>
                <w:rFonts w:hint="eastAsia" w:ascii="仿宋" w:hAnsi="仿宋" w:eastAsia="仿宋"/>
                <w:sz w:val="24"/>
                <w:u w:val="single"/>
              </w:rPr>
              <w:t>万仟</w:t>
            </w:r>
            <w:bookmarkEnd w:id="129"/>
            <w:r>
              <w:rPr>
                <w:rFonts w:hint="eastAsia" w:ascii="仿宋" w:hAnsi="仿宋" w:eastAsia="仿宋"/>
                <w:sz w:val="24"/>
                <w:u w:val="single"/>
              </w:rPr>
              <w:t>佰元</w:t>
            </w:r>
            <w:bookmarkEnd w:id="130"/>
            <w:r>
              <w:rPr>
                <w:rFonts w:hint="eastAsia" w:ascii="仿宋" w:hAnsi="仿宋" w:eastAsia="仿宋"/>
                <w:sz w:val="24"/>
                <w:u w:val="single"/>
              </w:rPr>
              <w:t>整</w:t>
            </w:r>
            <w:bookmarkEnd w:id="131"/>
            <w:r>
              <w:rPr>
                <w:rFonts w:hint="eastAsia" w:ascii="仿宋" w:hAnsi="仿宋" w:eastAsia="仿宋"/>
                <w:sz w:val="24"/>
                <w:u w:val="single"/>
              </w:rPr>
              <w:t>（¥00000.00）</w:t>
            </w:r>
          </w:p>
        </w:tc>
      </w:tr>
      <w:tr w14:paraId="21EA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5000" w:type="pct"/>
            <w:gridSpan w:val="8"/>
          </w:tcPr>
          <w:p w14:paraId="1FAF44AE">
            <w:pPr>
              <w:widowControl/>
              <w:spacing w:line="360" w:lineRule="auto"/>
              <w:jc w:val="left"/>
              <w:rPr>
                <w:rFonts w:hint="eastAsia" w:ascii="仿宋" w:hAnsi="仿宋" w:eastAsia="仿宋"/>
                <w:sz w:val="24"/>
              </w:rPr>
            </w:pPr>
            <w:r>
              <w:rPr>
                <w:rFonts w:hint="eastAsia" w:ascii="仿宋" w:hAnsi="仿宋" w:eastAsia="仿宋"/>
                <w:sz w:val="24"/>
              </w:rPr>
              <w:t>注：技术参数见附件一：用户需求书。详细配置见附件二:配置清单</w:t>
            </w:r>
          </w:p>
        </w:tc>
      </w:tr>
    </w:tbl>
    <w:p w14:paraId="3C127C5E">
      <w:pPr>
        <w:spacing w:line="360" w:lineRule="auto"/>
        <w:ind w:firstLine="540"/>
        <w:rPr>
          <w:rFonts w:hint="eastAsia" w:ascii="仿宋" w:hAnsi="仿宋" w:eastAsia="仿宋"/>
          <w:b/>
          <w:sz w:val="24"/>
        </w:rPr>
      </w:pPr>
      <w:r>
        <w:rPr>
          <w:rFonts w:ascii="仿宋" w:hAnsi="仿宋" w:eastAsia="仿宋"/>
          <w:b/>
          <w:sz w:val="24"/>
        </w:rPr>
        <w:t>2</w:t>
      </w:r>
      <w:r>
        <w:rPr>
          <w:rFonts w:hint="eastAsia" w:ascii="仿宋" w:hAnsi="仿宋" w:eastAsia="仿宋"/>
          <w:b/>
          <w:sz w:val="24"/>
        </w:rPr>
        <w:t>.合同总价</w:t>
      </w:r>
    </w:p>
    <w:p w14:paraId="2C39FAF1">
      <w:pPr>
        <w:widowControl/>
        <w:jc w:val="left"/>
        <w:rPr>
          <w:rFonts w:hint="eastAsia" w:ascii="仿宋" w:hAnsi="仿宋" w:eastAsia="仿宋"/>
          <w:sz w:val="24"/>
        </w:rPr>
      </w:pPr>
      <w:r>
        <w:rPr>
          <w:rFonts w:hint="eastAsia" w:ascii="仿宋" w:hAnsi="仿宋" w:eastAsia="仿宋"/>
          <w:sz w:val="24"/>
        </w:rPr>
        <w:t>总价为：人民币 万仟佰元整（大写），即 ¥00000.00总金额包括了但不限于包装、仓储、运输装卸、保险、安装、培训辅导、保修及售后服务、关税、销售税、其他税以及合同包含的所有风险、责任等各项应有费用。本合同执行期间合同总金额不变。</w:t>
      </w:r>
    </w:p>
    <w:p w14:paraId="475CAC64">
      <w:pPr>
        <w:spacing w:line="360" w:lineRule="auto"/>
        <w:ind w:firstLine="540"/>
        <w:rPr>
          <w:rFonts w:hint="eastAsia" w:ascii="仿宋" w:hAnsi="仿宋" w:eastAsia="仿宋"/>
          <w:b/>
          <w:sz w:val="24"/>
        </w:rPr>
      </w:pPr>
      <w:r>
        <w:rPr>
          <w:rFonts w:ascii="仿宋" w:hAnsi="仿宋" w:eastAsia="仿宋"/>
          <w:b/>
          <w:sz w:val="24"/>
        </w:rPr>
        <w:t>3</w:t>
      </w:r>
      <w:r>
        <w:rPr>
          <w:rFonts w:hint="eastAsia" w:ascii="仿宋" w:hAnsi="仿宋" w:eastAsia="仿宋"/>
          <w:b/>
          <w:sz w:val="24"/>
        </w:rPr>
        <w:t>.合同组成</w:t>
      </w:r>
    </w:p>
    <w:p w14:paraId="494E650D">
      <w:pPr>
        <w:widowControl/>
        <w:jc w:val="left"/>
        <w:rPr>
          <w:rFonts w:hint="eastAsia" w:ascii="仿宋" w:hAnsi="仿宋" w:eastAsia="仿宋"/>
          <w:sz w:val="24"/>
        </w:rPr>
      </w:pPr>
      <w:r>
        <w:rPr>
          <w:rFonts w:hint="eastAsia" w:ascii="仿宋" w:hAnsi="仿宋" w:eastAsia="仿宋"/>
          <w:sz w:val="24"/>
        </w:rPr>
        <w:t>详细价格、技术说明及其它有关合同设备的特定信息由合同附件说明。所有附件及本项目的报价文件、会议纪要、协议</w:t>
      </w:r>
      <w:r>
        <w:rPr>
          <w:rFonts w:ascii="仿宋" w:hAnsi="仿宋" w:eastAsia="仿宋" w:cs="仿宋"/>
          <w:kern w:val="0"/>
          <w:sz w:val="24"/>
          <w:lang w:bidi="ar"/>
        </w:rPr>
        <w:t>及甲方要求乙方提供的文书/证照</w:t>
      </w:r>
      <w:r>
        <w:rPr>
          <w:rFonts w:hint="eastAsia" w:ascii="仿宋" w:hAnsi="仿宋" w:eastAsia="仿宋"/>
          <w:sz w:val="24"/>
        </w:rPr>
        <w:t>等均为本合同不可分割之一部分。</w:t>
      </w:r>
    </w:p>
    <w:p w14:paraId="5F876CB4">
      <w:pPr>
        <w:spacing w:line="360" w:lineRule="auto"/>
        <w:ind w:firstLine="540"/>
        <w:rPr>
          <w:rFonts w:hint="eastAsia" w:ascii="仿宋" w:hAnsi="仿宋" w:eastAsia="仿宋"/>
          <w:b/>
          <w:sz w:val="24"/>
        </w:rPr>
      </w:pPr>
      <w:r>
        <w:rPr>
          <w:rFonts w:ascii="仿宋" w:hAnsi="仿宋" w:eastAsia="仿宋"/>
          <w:b/>
          <w:sz w:val="24"/>
        </w:rPr>
        <w:t>4</w:t>
      </w:r>
      <w:r>
        <w:rPr>
          <w:rFonts w:hint="eastAsia" w:ascii="仿宋" w:hAnsi="仿宋" w:eastAsia="仿宋"/>
          <w:b/>
          <w:sz w:val="24"/>
        </w:rPr>
        <w:t>.技术参数</w:t>
      </w:r>
    </w:p>
    <w:p w14:paraId="69620C15">
      <w:pPr>
        <w:spacing w:line="360" w:lineRule="auto"/>
        <w:ind w:firstLine="540"/>
        <w:rPr>
          <w:rFonts w:hint="eastAsia" w:ascii="仿宋" w:hAnsi="仿宋" w:eastAsia="仿宋"/>
          <w:sz w:val="24"/>
        </w:rPr>
      </w:pPr>
      <w:r>
        <w:rPr>
          <w:rFonts w:hint="eastAsia" w:ascii="仿宋" w:hAnsi="仿宋" w:eastAsia="仿宋"/>
          <w:sz w:val="24"/>
        </w:rPr>
        <w:t>乙方所提供设备，必须符合国家有关法规、标准和规范，环境保护要求以及该产品的出厂标准，符合甲方的技术要求，并提供设备的厂试测验报告和合格证。</w:t>
      </w:r>
    </w:p>
    <w:p w14:paraId="71766189">
      <w:pPr>
        <w:spacing w:line="360" w:lineRule="auto"/>
        <w:ind w:firstLine="540"/>
        <w:rPr>
          <w:rFonts w:hint="eastAsia" w:ascii="仿宋" w:hAnsi="仿宋" w:eastAsia="仿宋"/>
          <w:b/>
          <w:sz w:val="24"/>
        </w:rPr>
      </w:pPr>
      <w:r>
        <w:rPr>
          <w:rFonts w:ascii="仿宋" w:hAnsi="仿宋" w:eastAsia="仿宋"/>
          <w:b/>
          <w:sz w:val="24"/>
        </w:rPr>
        <w:t>5</w:t>
      </w:r>
      <w:r>
        <w:rPr>
          <w:rFonts w:hint="eastAsia" w:ascii="仿宋" w:hAnsi="仿宋" w:eastAsia="仿宋"/>
          <w:b/>
          <w:sz w:val="24"/>
        </w:rPr>
        <w:t>.合同设备包装、交货、安装及验收</w:t>
      </w:r>
    </w:p>
    <w:p w14:paraId="6588B1CA">
      <w:pPr>
        <w:spacing w:line="360" w:lineRule="auto"/>
        <w:ind w:firstLine="540"/>
        <w:rPr>
          <w:rFonts w:hint="eastAsia" w:ascii="仿宋" w:hAnsi="仿宋" w:eastAsia="仿宋"/>
          <w:sz w:val="24"/>
        </w:rPr>
      </w:pPr>
      <w:r>
        <w:rPr>
          <w:rFonts w:ascii="仿宋" w:hAnsi="仿宋" w:eastAsia="仿宋"/>
          <w:sz w:val="24"/>
        </w:rPr>
        <w:t>5.</w:t>
      </w:r>
      <w:r>
        <w:rPr>
          <w:rFonts w:hint="eastAsia" w:ascii="仿宋" w:hAnsi="仿宋" w:eastAsia="仿宋"/>
          <w:sz w:val="24"/>
        </w:rPr>
        <w:t>1合同设备的包装</w:t>
      </w:r>
    </w:p>
    <w:p w14:paraId="48197750">
      <w:pPr>
        <w:spacing w:line="360" w:lineRule="auto"/>
        <w:ind w:firstLine="540"/>
        <w:rPr>
          <w:rFonts w:hint="eastAsia" w:ascii="仿宋" w:hAnsi="仿宋" w:eastAsia="仿宋"/>
          <w:sz w:val="24"/>
        </w:rPr>
      </w:pPr>
      <w:r>
        <w:rPr>
          <w:rFonts w:hint="eastAsia" w:ascii="仿宋" w:hAnsi="仿宋" w:eastAsia="仿宋"/>
          <w:sz w:val="24"/>
        </w:rPr>
        <w:t>设备的包装均应有良好的防潮、防湿、防雨、防腐和防碰撞的措施。凡由于包装不良造成的损失和由此产生的费用均由乙方承担。</w:t>
      </w:r>
    </w:p>
    <w:p w14:paraId="1403053E">
      <w:pPr>
        <w:spacing w:line="360" w:lineRule="auto"/>
        <w:ind w:firstLine="540"/>
        <w:rPr>
          <w:rFonts w:hint="eastAsia" w:ascii="仿宋" w:hAnsi="仿宋" w:eastAsia="仿宋"/>
          <w:sz w:val="24"/>
        </w:rPr>
      </w:pPr>
      <w:r>
        <w:rPr>
          <w:rFonts w:hint="eastAsia" w:ascii="仿宋" w:hAnsi="仿宋" w:eastAsia="仿宋"/>
          <w:sz w:val="24"/>
        </w:rPr>
        <w:t>5.2合同设备的交付使用</w:t>
      </w:r>
    </w:p>
    <w:p w14:paraId="52ECD272">
      <w:pPr>
        <w:spacing w:line="360" w:lineRule="auto"/>
        <w:ind w:firstLine="540"/>
        <w:rPr>
          <w:rFonts w:hint="eastAsia" w:ascii="仿宋" w:hAnsi="仿宋" w:eastAsia="仿宋"/>
          <w:sz w:val="24"/>
        </w:rPr>
      </w:pPr>
      <w:r>
        <w:rPr>
          <w:rFonts w:ascii="仿宋" w:hAnsi="仿宋" w:eastAsia="仿宋"/>
          <w:sz w:val="24"/>
        </w:rPr>
        <w:t>5.</w:t>
      </w:r>
      <w:r>
        <w:rPr>
          <w:rFonts w:hint="eastAsia" w:ascii="仿宋" w:hAnsi="仿宋" w:eastAsia="仿宋"/>
          <w:sz w:val="24"/>
        </w:rPr>
        <w:t>2.1乙方交货时间：合同签订后15 个工作日内,发货前须与甲方确认,以便提前做好各项准备。自合同签订后15个工作日内完成所有货物的到货、安装调试并交付采购人试运行。</w:t>
      </w:r>
    </w:p>
    <w:p w14:paraId="62523EB9">
      <w:pPr>
        <w:spacing w:line="360" w:lineRule="auto"/>
        <w:ind w:firstLine="540"/>
        <w:rPr>
          <w:rFonts w:hint="eastAsia" w:ascii="仿宋" w:hAnsi="仿宋" w:eastAsia="仿宋"/>
          <w:sz w:val="24"/>
        </w:rPr>
      </w:pPr>
      <w:r>
        <w:rPr>
          <w:rFonts w:ascii="仿宋" w:hAnsi="仿宋" w:eastAsia="仿宋"/>
          <w:sz w:val="24"/>
        </w:rPr>
        <w:t>5.</w:t>
      </w:r>
      <w:r>
        <w:rPr>
          <w:rFonts w:hint="eastAsia" w:ascii="仿宋" w:hAnsi="仿宋" w:eastAsia="仿宋"/>
          <w:sz w:val="24"/>
        </w:rPr>
        <w:t>2.2乙方交货地点：广州市海珠区石榴岗路13号大院南方医科大学中西医结合医院院内指定地点或甲方指定地点。</w:t>
      </w:r>
    </w:p>
    <w:p w14:paraId="083D1AD9">
      <w:pPr>
        <w:spacing w:line="360" w:lineRule="auto"/>
        <w:ind w:firstLine="540"/>
        <w:rPr>
          <w:rFonts w:hint="eastAsia" w:ascii="仿宋" w:hAnsi="仿宋" w:eastAsia="仿宋"/>
          <w:sz w:val="24"/>
        </w:rPr>
      </w:pPr>
      <w:r>
        <w:rPr>
          <w:rFonts w:hint="eastAsia" w:ascii="仿宋" w:hAnsi="仿宋" w:eastAsia="仿宋"/>
          <w:sz w:val="24"/>
        </w:rPr>
        <w:t>5.3合同设备的安装</w:t>
      </w:r>
    </w:p>
    <w:p w14:paraId="2B3BAFEE">
      <w:pPr>
        <w:spacing w:line="360" w:lineRule="auto"/>
        <w:ind w:firstLine="540"/>
        <w:rPr>
          <w:rFonts w:hint="eastAsia" w:ascii="仿宋" w:hAnsi="仿宋" w:eastAsia="仿宋"/>
          <w:sz w:val="24"/>
        </w:rPr>
      </w:pPr>
      <w:r>
        <w:rPr>
          <w:rFonts w:hint="eastAsia" w:ascii="仿宋" w:hAnsi="仿宋" w:eastAsia="仿宋"/>
          <w:sz w:val="24"/>
        </w:rPr>
        <w:t>5.3.1乙方应及时与甲方协商安排设备安装调试</w:t>
      </w:r>
    </w:p>
    <w:p w14:paraId="2BD900AC">
      <w:pPr>
        <w:spacing w:line="360" w:lineRule="auto"/>
        <w:ind w:firstLine="540"/>
        <w:rPr>
          <w:rFonts w:hint="eastAsia" w:ascii="仿宋" w:hAnsi="仿宋" w:eastAsia="仿宋"/>
          <w:sz w:val="24"/>
        </w:rPr>
      </w:pPr>
      <w:r>
        <w:rPr>
          <w:rFonts w:hint="eastAsia" w:ascii="仿宋" w:hAnsi="仿宋" w:eastAsia="仿宋"/>
          <w:sz w:val="24"/>
        </w:rPr>
        <w:t>5.3.2</w:t>
      </w:r>
      <w:r>
        <w:rPr>
          <w:rFonts w:hint="eastAsia" w:ascii="仿宋" w:hAnsi="仿宋" w:eastAsia="仿宋"/>
          <w:sz w:val="24"/>
          <w:lang w:bidi="ar"/>
        </w:rPr>
        <w:t>合同项下的安装调试所发生费用及耗材由乙方承担。</w:t>
      </w:r>
    </w:p>
    <w:p w14:paraId="3EFB9DB4">
      <w:pPr>
        <w:spacing w:line="360" w:lineRule="auto"/>
        <w:ind w:firstLine="540"/>
        <w:rPr>
          <w:rFonts w:hint="eastAsia" w:ascii="仿宋" w:hAnsi="仿宋" w:eastAsia="仿宋"/>
          <w:sz w:val="24"/>
        </w:rPr>
      </w:pPr>
      <w:r>
        <w:rPr>
          <w:rFonts w:hint="eastAsia" w:ascii="仿宋" w:hAnsi="仿宋" w:eastAsia="仿宋"/>
          <w:sz w:val="24"/>
        </w:rPr>
        <w:t>5.3.3乙方负责设备运输、搬运和拆卸以及所需要的搬运和安装工具。安装时须对场地内的其他设备、设施采取良好的保护措施。及时清理拆箱和安装产生的物料。</w:t>
      </w:r>
    </w:p>
    <w:p w14:paraId="55DDC659">
      <w:pPr>
        <w:spacing w:line="360" w:lineRule="auto"/>
        <w:ind w:firstLine="540"/>
        <w:rPr>
          <w:rFonts w:hint="eastAsia" w:ascii="仿宋" w:hAnsi="仿宋" w:eastAsia="仿宋"/>
          <w:sz w:val="24"/>
        </w:rPr>
      </w:pPr>
      <w:r>
        <w:rPr>
          <w:rFonts w:ascii="仿宋" w:hAnsi="仿宋" w:eastAsia="仿宋"/>
          <w:sz w:val="24"/>
        </w:rPr>
        <w:t>5.</w:t>
      </w:r>
      <w:r>
        <w:rPr>
          <w:rFonts w:hint="eastAsia" w:ascii="仿宋" w:hAnsi="仿宋" w:eastAsia="仿宋"/>
          <w:sz w:val="24"/>
        </w:rPr>
        <w:t>4设备的验收</w:t>
      </w:r>
    </w:p>
    <w:p w14:paraId="380F3ADF">
      <w:pPr>
        <w:spacing w:line="360" w:lineRule="auto"/>
        <w:ind w:firstLine="540"/>
        <w:rPr>
          <w:rFonts w:hint="eastAsia" w:ascii="仿宋" w:hAnsi="仿宋" w:eastAsia="仿宋"/>
          <w:sz w:val="24"/>
        </w:rPr>
      </w:pPr>
      <w:r>
        <w:rPr>
          <w:rFonts w:hint="eastAsia" w:ascii="仿宋" w:hAnsi="仿宋" w:eastAsia="仿宋"/>
          <w:sz w:val="24"/>
        </w:rPr>
        <w:t>5.4</w:t>
      </w:r>
      <w:r>
        <w:rPr>
          <w:rFonts w:ascii="仿宋" w:hAnsi="仿宋" w:eastAsia="仿宋"/>
          <w:sz w:val="24"/>
        </w:rPr>
        <w:t>.</w:t>
      </w:r>
      <w:r>
        <w:rPr>
          <w:rFonts w:hint="eastAsia" w:ascii="仿宋" w:hAnsi="仿宋" w:eastAsia="仿宋"/>
          <w:sz w:val="24"/>
        </w:rPr>
        <w:t>1合同设备应具备合格证、进口检验证明或其它合法进货渠道证明，否则不予验收。设备到甲方指定地点后应在甲乙双方共同参加下进行验收。</w:t>
      </w:r>
    </w:p>
    <w:p w14:paraId="3B523E20">
      <w:pPr>
        <w:spacing w:line="360" w:lineRule="auto"/>
        <w:ind w:firstLine="540"/>
        <w:rPr>
          <w:rFonts w:hint="eastAsia" w:ascii="仿宋" w:hAnsi="仿宋" w:eastAsia="仿宋"/>
          <w:sz w:val="24"/>
        </w:rPr>
      </w:pPr>
      <w:r>
        <w:rPr>
          <w:rFonts w:ascii="仿宋" w:hAnsi="仿宋" w:eastAsia="仿宋"/>
          <w:sz w:val="24"/>
        </w:rPr>
        <w:t>5.</w:t>
      </w:r>
      <w:r>
        <w:rPr>
          <w:rFonts w:hint="eastAsia" w:ascii="仿宋" w:hAnsi="仿宋" w:eastAsia="仿宋"/>
          <w:sz w:val="24"/>
        </w:rPr>
        <w:t>4.2验收按按采购文件、响应文件约定功能参数及国家有关的规定、规范进行。验收时如发现所交付的设备有短装、次品、损坏、功能参数不符合要求或其它不符合本合同规定之情形者，甲方应作出详尽的现场记录，甲方有权拒收。乙方应在十五天内更换设备。此现场记录或备忘录可用作补充、缺失和更换损坏部件的有效证据。由此产生的有关费用由乙方承担。属于强制检定的设备必须提供检定合格证书或由甲方邀请有资质部门检定，费用由乙方负责。国家规定由第三方验收的，由双方协商邀请有资质部门验收，费用由乙方负责。需要与医院信息系统联网的，乙方必须开放接口，并协助联网，由此产生的有关费用由乙方承担。设备安装调试后验收时如发现有不符合本合同规定之情形者，甲方应做出详尽的现场记录，或由甲乙双方签署备忘录。此现场记录或备忘录可用作补充、缺失和更换损坏部件的有效证据。由此产生的有关费用由乙方承担。</w:t>
      </w:r>
    </w:p>
    <w:p w14:paraId="5D26258B">
      <w:pPr>
        <w:spacing w:line="360" w:lineRule="auto"/>
        <w:ind w:firstLine="540"/>
        <w:rPr>
          <w:rFonts w:hint="eastAsia" w:ascii="仿宋" w:hAnsi="仿宋" w:eastAsia="仿宋"/>
          <w:sz w:val="24"/>
        </w:rPr>
      </w:pPr>
      <w:r>
        <w:rPr>
          <w:rFonts w:ascii="仿宋" w:hAnsi="仿宋" w:eastAsia="仿宋"/>
          <w:sz w:val="24"/>
        </w:rPr>
        <w:t>5.</w:t>
      </w:r>
      <w:r>
        <w:rPr>
          <w:rFonts w:hint="eastAsia" w:ascii="仿宋" w:hAnsi="仿宋" w:eastAsia="仿宋"/>
          <w:sz w:val="24"/>
        </w:rPr>
        <w:t>4.3乙方应将设备的用户手册、保修手册、操作流程、维护流程等有关资料各二套（并提供电子版）等必须提供给甲方。设备内配置的软件系统不应设置密码或需将密码告知甲方。</w:t>
      </w:r>
    </w:p>
    <w:p w14:paraId="1B7B301F">
      <w:pPr>
        <w:widowControl/>
        <w:spacing w:line="360" w:lineRule="auto"/>
        <w:ind w:firstLine="540"/>
        <w:jc w:val="left"/>
        <w:rPr>
          <w:rFonts w:hint="eastAsia" w:ascii="仿宋" w:hAnsi="仿宋" w:eastAsia="仿宋"/>
          <w:sz w:val="24"/>
          <w:highlight w:val="green"/>
        </w:rPr>
      </w:pPr>
      <w:r>
        <w:rPr>
          <w:rFonts w:hint="eastAsia" w:ascii="仿宋" w:hAnsi="仿宋" w:eastAsia="仿宋"/>
          <w:sz w:val="24"/>
          <w:lang w:bidi="ar"/>
        </w:rPr>
        <w:t>5.4.4合同内全部货物到齐，并安装、调试合格，乙方交齐验收所需资料后</w:t>
      </w:r>
      <w:r>
        <w:rPr>
          <w:rFonts w:hint="eastAsia" w:ascii="仿宋" w:hAnsi="仿宋" w:eastAsia="仿宋"/>
          <w:sz w:val="24"/>
          <w:u w:val="single"/>
          <w:lang w:bidi="ar"/>
        </w:rPr>
        <w:t xml:space="preserve">＿7 </w:t>
      </w:r>
      <w:r>
        <w:rPr>
          <w:rFonts w:hint="eastAsia" w:ascii="仿宋" w:hAnsi="仿宋" w:eastAsia="仿宋"/>
          <w:sz w:val="24"/>
          <w:lang w:bidi="ar"/>
        </w:rPr>
        <w:t>个工作日内对货物进行验收。在约定验收的日期前，乙方必须协助甲方完成各项指标和功能的测试，并完成各项培训，现场验收时乙方提供必要的技术支持，否则，因验收延误造成的损失由乙方负责</w:t>
      </w:r>
      <w:r>
        <w:rPr>
          <w:rFonts w:hint="eastAsia" w:ascii="仿宋" w:hAnsi="仿宋" w:eastAsia="仿宋"/>
          <w:sz w:val="24"/>
        </w:rPr>
        <w:t>，由此产生的有关费用由乙方承担。</w:t>
      </w:r>
    </w:p>
    <w:p w14:paraId="5FF1DAF2">
      <w:pPr>
        <w:widowControl/>
        <w:spacing w:line="360" w:lineRule="auto"/>
        <w:ind w:firstLine="540"/>
        <w:jc w:val="left"/>
        <w:rPr>
          <w:rFonts w:hint="eastAsia" w:ascii="仿宋" w:hAnsi="仿宋" w:eastAsia="仿宋"/>
          <w:sz w:val="24"/>
          <w:lang w:bidi="ar"/>
        </w:rPr>
      </w:pPr>
      <w:r>
        <w:rPr>
          <w:rFonts w:hint="eastAsia" w:ascii="仿宋" w:hAnsi="仿宋" w:eastAsia="仿宋"/>
          <w:sz w:val="24"/>
          <w:lang w:bidi="ar"/>
        </w:rPr>
        <w:t>5.4.5甲方所购货物通过验收，经甲方确认并出具书面验收合格证明，视为验收合格。乙方保证所有资料的真实性、合法有效性，资料不齐全或不真实甲方不予验收。</w:t>
      </w:r>
    </w:p>
    <w:p w14:paraId="5C694CE8">
      <w:pPr>
        <w:widowControl/>
        <w:spacing w:line="360" w:lineRule="auto"/>
        <w:ind w:firstLine="540"/>
        <w:jc w:val="left"/>
        <w:rPr>
          <w:rFonts w:hint="eastAsia" w:ascii="仿宋" w:hAnsi="仿宋" w:eastAsia="仿宋"/>
          <w:sz w:val="24"/>
          <w:lang w:bidi="ar"/>
        </w:rPr>
      </w:pPr>
      <w:r>
        <w:rPr>
          <w:rFonts w:hint="eastAsia" w:ascii="仿宋" w:hAnsi="仿宋" w:eastAsia="仿宋"/>
          <w:sz w:val="24"/>
          <w:lang w:bidi="ar"/>
        </w:rPr>
        <w:t>5.4.6乙方提供的货物不得侵犯任何第三方的知识产权包括但不限于专利权、著作权、商标权以及其他法律权利。否则，乙方须承担对第三方的权利侵权责任并承担因此而发生的所有费用，包括不限于甲方为此发生的维权费用、法律费用等。</w:t>
      </w:r>
    </w:p>
    <w:p w14:paraId="4EB835B3">
      <w:pPr>
        <w:spacing w:line="360" w:lineRule="auto"/>
        <w:ind w:firstLine="442" w:firstLineChars="200"/>
        <w:rPr>
          <w:rFonts w:hint="eastAsia" w:ascii="仿宋" w:hAnsi="仿宋" w:eastAsia="仿宋"/>
          <w:b/>
          <w:sz w:val="24"/>
        </w:rPr>
      </w:pPr>
      <w:r>
        <w:rPr>
          <w:rFonts w:ascii="仿宋" w:hAnsi="仿宋" w:eastAsia="仿宋"/>
          <w:b/>
          <w:sz w:val="24"/>
        </w:rPr>
        <w:t>6</w:t>
      </w:r>
      <w:r>
        <w:rPr>
          <w:rFonts w:hint="eastAsia" w:ascii="仿宋" w:hAnsi="仿宋" w:eastAsia="仿宋"/>
          <w:b/>
          <w:sz w:val="24"/>
        </w:rPr>
        <w:t>.质量保证及售后服务</w:t>
      </w:r>
    </w:p>
    <w:p w14:paraId="0BF0F091">
      <w:pPr>
        <w:spacing w:line="360" w:lineRule="auto"/>
        <w:ind w:firstLine="498" w:firstLineChars="225"/>
        <w:rPr>
          <w:rFonts w:hint="eastAsia" w:ascii="仿宋" w:hAnsi="仿宋" w:eastAsia="仿宋"/>
          <w:sz w:val="24"/>
        </w:rPr>
      </w:pPr>
      <w:r>
        <w:rPr>
          <w:rFonts w:ascii="仿宋" w:hAnsi="仿宋" w:eastAsia="仿宋"/>
          <w:sz w:val="24"/>
        </w:rPr>
        <w:t>6.1</w:t>
      </w:r>
      <w:r>
        <w:rPr>
          <w:rFonts w:hint="eastAsia" w:ascii="仿宋" w:hAnsi="仿宋" w:eastAsia="仿宋"/>
          <w:sz w:val="24"/>
        </w:rPr>
        <w:t>乙方保证合同设备是在</w:t>
      </w:r>
      <w:r>
        <w:rPr>
          <w:rFonts w:hint="eastAsia" w:ascii="仿宋" w:hAnsi="仿宋" w:eastAsia="仿宋"/>
          <w:sz w:val="24"/>
          <w:u w:val="single"/>
        </w:rPr>
        <w:t xml:space="preserve"> ？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b/>
          <w:bCs/>
          <w:sz w:val="24"/>
          <w:u w:val="single"/>
        </w:rPr>
        <w:t>（要求合同签订之日起壹年内生产的产品）</w:t>
      </w:r>
      <w:r>
        <w:rPr>
          <w:rFonts w:hint="eastAsia" w:ascii="仿宋" w:hAnsi="仿宋" w:eastAsia="仿宋"/>
          <w:sz w:val="24"/>
        </w:rPr>
        <w:t>后生产的全新、未曾使用过的，且进货渠道合法，并符合国家有关标准的设备。其质量、规格及技术特征符合合同附件的要求，进口产品需在供货时提供合同内设备的报关单和商检证明文件。如设备质量或规格与合同不符，或证实设备是有缺陷的，乙方应在接到甲方通知后15天内负责更换符合标准的同型号设备，其费用由乙方负担。同时，乙方应按本合同规定，相应延长设备保修期。</w:t>
      </w:r>
    </w:p>
    <w:p w14:paraId="3549AAAA">
      <w:pPr>
        <w:widowControl/>
        <w:spacing w:line="360" w:lineRule="auto"/>
        <w:ind w:firstLine="540"/>
        <w:jc w:val="left"/>
        <w:rPr>
          <w:rFonts w:hint="eastAsia" w:ascii="仿宋" w:hAnsi="仿宋" w:eastAsia="仿宋"/>
          <w:sz w:val="24"/>
        </w:rPr>
      </w:pPr>
      <w:r>
        <w:rPr>
          <w:rFonts w:ascii="仿宋" w:hAnsi="仿宋" w:eastAsia="仿宋"/>
          <w:sz w:val="24"/>
        </w:rPr>
        <w:t>6.</w:t>
      </w:r>
      <w:r>
        <w:rPr>
          <w:rFonts w:hint="eastAsia" w:ascii="仿宋" w:hAnsi="仿宋" w:eastAsia="仿宋"/>
          <w:sz w:val="24"/>
        </w:rPr>
        <w:t>2合同内设备保修期为本项目有关部门验收合格之日起 3年（整机原厂保修）。每年至少定期检修维护二次。第三方产品保修≥5年，软件升级，由此产生的有关费用由乙方承担。每半年至少一次培训，培训记录包括培训项目、培训目的、实施形式、培训对象、课件目录、授课人、签到表等。</w:t>
      </w:r>
    </w:p>
    <w:p w14:paraId="66251A3E">
      <w:pPr>
        <w:spacing w:line="360" w:lineRule="auto"/>
        <w:ind w:firstLine="498" w:firstLineChars="225"/>
        <w:rPr>
          <w:rFonts w:hint="eastAsia" w:ascii="仿宋" w:hAnsi="仿宋" w:eastAsia="仿宋"/>
          <w:sz w:val="24"/>
        </w:rPr>
      </w:pPr>
      <w:r>
        <w:rPr>
          <w:rFonts w:hint="eastAsia" w:ascii="仿宋" w:hAnsi="仿宋" w:eastAsia="仿宋"/>
          <w:sz w:val="24"/>
        </w:rPr>
        <w:t>保修期内非因甲方的人为原因而出现产品质量及安装问题，由乙方负责包修、包换或包退，并承担因此而产生的一切费用。乙方应在收到甲方通知后24小时内派员到现场维修</w:t>
      </w:r>
      <w:r>
        <w:rPr>
          <w:rFonts w:ascii="仿宋" w:hAnsi="仿宋" w:eastAsia="仿宋"/>
          <w:sz w:val="24"/>
        </w:rPr>
        <w:t>(</w:t>
      </w:r>
      <w:r>
        <w:rPr>
          <w:rFonts w:hint="eastAsia" w:ascii="仿宋" w:hAnsi="仿宋" w:eastAsia="仿宋"/>
          <w:sz w:val="24"/>
        </w:rPr>
        <w:t>用户需求书另有规定除外)。如合同设备在1个月内同一部件出现两次同一故障，乙方应负责无条件更换整机或功能模块。</w:t>
      </w:r>
    </w:p>
    <w:p w14:paraId="386C983D">
      <w:pPr>
        <w:spacing w:line="360" w:lineRule="auto"/>
        <w:ind w:firstLine="540"/>
        <w:rPr>
          <w:rFonts w:hint="eastAsia" w:ascii="仿宋" w:hAnsi="仿宋" w:eastAsia="仿宋"/>
          <w:sz w:val="24"/>
        </w:rPr>
      </w:pPr>
      <w:r>
        <w:rPr>
          <w:rFonts w:hint="eastAsia" w:ascii="仿宋" w:hAnsi="仿宋" w:eastAsia="仿宋"/>
          <w:sz w:val="24"/>
        </w:rPr>
        <w:t>保修期内每年按国家标准或产品维护要求进行定期保养，做好保养记录。III类设备每年四次保养，其他类别设备每年至少二次保养。最后一次保养一般安排在保修期结束前一个月进行。</w:t>
      </w:r>
    </w:p>
    <w:p w14:paraId="39191C39">
      <w:pPr>
        <w:spacing w:line="360" w:lineRule="auto"/>
        <w:ind w:firstLine="540"/>
        <w:rPr>
          <w:rFonts w:hint="eastAsia" w:ascii="仿宋" w:hAnsi="仿宋" w:eastAsia="仿宋"/>
          <w:sz w:val="24"/>
        </w:rPr>
      </w:pPr>
      <w:r>
        <w:rPr>
          <w:rFonts w:hint="eastAsia" w:ascii="仿宋" w:hAnsi="仿宋" w:eastAsia="仿宋"/>
          <w:sz w:val="24"/>
        </w:rPr>
        <w:t>设备开机率达不到95%的，每降低1%，保修期延长5天。</w:t>
      </w:r>
    </w:p>
    <w:p w14:paraId="135C9C2A">
      <w:pPr>
        <w:spacing w:line="360" w:lineRule="auto"/>
        <w:ind w:firstLine="540"/>
        <w:rPr>
          <w:rFonts w:hint="eastAsia" w:ascii="仿宋" w:hAnsi="仿宋" w:eastAsia="仿宋"/>
          <w:sz w:val="24"/>
        </w:rPr>
      </w:pPr>
      <w:r>
        <w:rPr>
          <w:rFonts w:ascii="仿宋" w:hAnsi="仿宋" w:eastAsia="仿宋"/>
          <w:sz w:val="24"/>
        </w:rPr>
        <w:t>合同设备保修期内维保所需含整机及所有零配件和第三方产品的所有费用包含在合同总价内，乙方维修设备时所更换的备件应是原设备生产厂家认证合格的全新零配件，设备终身维修保养，乙方提供设备的系统软件及硬件的安全性改版升级和技术支持相关费用也已包含在合同总价内，并保证所有系统软件（非功能软件）为最新版本。</w:t>
      </w:r>
    </w:p>
    <w:p w14:paraId="62DFA87C">
      <w:pPr>
        <w:spacing w:line="360" w:lineRule="auto"/>
        <w:ind w:firstLine="540"/>
        <w:rPr>
          <w:rFonts w:hint="eastAsia" w:ascii="仿宋" w:hAnsi="仿宋" w:eastAsia="仿宋"/>
          <w:sz w:val="24"/>
        </w:rPr>
      </w:pPr>
      <w:r>
        <w:rPr>
          <w:rFonts w:ascii="仿宋" w:hAnsi="仿宋" w:eastAsia="仿宋"/>
          <w:sz w:val="24"/>
        </w:rPr>
        <w:t>服务响应：开通服务热线电话，保证全天7×24小时有工程师接听；保证节假日、非工作时间的人工服务响应；报修后，____小时内电话响应，____小时内到达现场，____小时内恢复正常运行；如设备故障严重，无法及时修复，乙方有义务提供解决方案，并保证在3天（72小时）内使设备恢复正常运行。若报修后3天（72小时）内不能使设备恢复正常运行的，则乙方必须提供相同配置规格的备用设备，否则自报修后第4天起，每延迟1天保修期顺延5天。</w:t>
      </w:r>
    </w:p>
    <w:p w14:paraId="394F83D9">
      <w:pPr>
        <w:spacing w:line="360" w:lineRule="auto"/>
        <w:ind w:firstLine="540"/>
        <w:rPr>
          <w:rFonts w:hint="eastAsia" w:ascii="仿宋" w:hAnsi="仿宋" w:eastAsia="仿宋"/>
          <w:sz w:val="24"/>
        </w:rPr>
      </w:pPr>
      <w:r>
        <w:rPr>
          <w:rFonts w:ascii="仿宋" w:hAnsi="仿宋" w:eastAsia="仿宋"/>
          <w:sz w:val="24"/>
        </w:rPr>
        <w:t>备件供应：必须是原厂提供的全新备件且来源合法；在中国境内设有备件库，保证常用备件在24小时内的及时供应；提供中国境内核心备件库目录，按季度更新盖章给甲方备查；设备使用期限内必须保证备件的供应。</w:t>
      </w:r>
    </w:p>
    <w:p w14:paraId="3A81FDC4">
      <w:pPr>
        <w:spacing w:line="360" w:lineRule="auto"/>
        <w:ind w:firstLine="540"/>
        <w:rPr>
          <w:rFonts w:hint="eastAsia" w:ascii="仿宋" w:hAnsi="仿宋" w:eastAsia="仿宋"/>
          <w:sz w:val="24"/>
        </w:rPr>
      </w:pPr>
      <w:r>
        <w:rPr>
          <w:rFonts w:ascii="仿宋" w:hAnsi="仿宋" w:eastAsia="仿宋"/>
          <w:sz w:val="24"/>
        </w:rPr>
        <w:t>6.3</w:t>
      </w:r>
      <w:r>
        <w:rPr>
          <w:rFonts w:hint="eastAsia" w:ascii="仿宋" w:hAnsi="仿宋" w:eastAsia="仿宋"/>
          <w:sz w:val="24"/>
        </w:rPr>
        <w:t>因设备的质量问题而发生争议，应以省级或国家级质量监督管理部门出具的鉴定报告作为认定依据。设备符合质量标准的，鉴定费用由甲方承担；设备不符合质量标准的，鉴定费用由乙方承担。</w:t>
      </w:r>
    </w:p>
    <w:p w14:paraId="27F10B31">
      <w:pPr>
        <w:spacing w:line="360" w:lineRule="auto"/>
        <w:ind w:firstLine="540"/>
        <w:rPr>
          <w:rFonts w:hint="eastAsia" w:ascii="仿宋" w:hAnsi="仿宋" w:eastAsia="仿宋"/>
          <w:sz w:val="24"/>
        </w:rPr>
      </w:pPr>
      <w:r>
        <w:rPr>
          <w:rFonts w:hint="eastAsia" w:ascii="仿宋" w:hAnsi="仿宋" w:eastAsia="仿宋"/>
          <w:sz w:val="24"/>
        </w:rPr>
        <w:t>6.4乙方负责对设备使用相关人员的培训和考核</w:t>
      </w:r>
    </w:p>
    <w:p w14:paraId="6547191C">
      <w:pPr>
        <w:spacing w:line="360" w:lineRule="auto"/>
        <w:ind w:firstLine="540"/>
        <w:rPr>
          <w:rFonts w:hint="eastAsia" w:ascii="仿宋" w:hAnsi="仿宋" w:eastAsia="仿宋"/>
          <w:sz w:val="24"/>
        </w:rPr>
      </w:pPr>
      <w:r>
        <w:rPr>
          <w:rFonts w:hint="eastAsia" w:ascii="仿宋" w:hAnsi="仿宋" w:eastAsia="仿宋"/>
          <w:sz w:val="24"/>
        </w:rPr>
        <w:t>乙方负责对甲方使用人员进行培训，保证操作者熟悉操作仪器的全部功能。</w:t>
      </w:r>
    </w:p>
    <w:p w14:paraId="739B3DDB">
      <w:pPr>
        <w:spacing w:line="360" w:lineRule="auto"/>
        <w:ind w:firstLine="540"/>
        <w:rPr>
          <w:rFonts w:hint="eastAsia" w:ascii="仿宋" w:hAnsi="仿宋" w:eastAsia="仿宋"/>
          <w:sz w:val="24"/>
        </w:rPr>
      </w:pPr>
      <w:r>
        <w:rPr>
          <w:rFonts w:hint="eastAsia" w:ascii="仿宋" w:hAnsi="仿宋" w:eastAsia="仿宋"/>
          <w:sz w:val="24"/>
        </w:rPr>
        <w:t>乙方负责对甲方工程技术人员进行培训，主要内容为设备的基本原理和结构、主要部件的构造及修理，定期维护和预防性维修方法，电路重要参数设置和参考值，性能参数检测方法，常见故障的排除，紧急情况的处理等。无偿提供培训资料，包括全套元件级线路图、维修软件和密码等。</w:t>
      </w:r>
    </w:p>
    <w:p w14:paraId="25A0EFF9">
      <w:pPr>
        <w:pStyle w:val="59"/>
        <w:spacing w:line="360" w:lineRule="auto"/>
        <w:ind w:firstLine="442" w:firstLineChars="200"/>
        <w:jc w:val="both"/>
        <w:rPr>
          <w:rFonts w:ascii="仿宋" w:hAnsi="仿宋" w:eastAsia="仿宋"/>
          <w:kern w:val="2"/>
          <w:sz w:val="24"/>
          <w:szCs w:val="22"/>
          <w:lang w:eastAsia="zh-CN"/>
        </w:rPr>
      </w:pPr>
      <w:r>
        <w:rPr>
          <w:rFonts w:ascii="仿宋" w:hAnsi="仿宋" w:eastAsia="仿宋"/>
          <w:kern w:val="2"/>
          <w:sz w:val="24"/>
          <w:szCs w:val="22"/>
          <w:lang w:eastAsia="zh-CN"/>
        </w:rPr>
        <w:t>培训地点在设备安装现场，复杂设备安排在厂家培训基地或按甲方要求安排。乙方对甲方使用人员进行考核，发给合格证书。期间所产生的费用已包含在合同总价中。</w:t>
      </w:r>
    </w:p>
    <w:p w14:paraId="2A22EF36">
      <w:pPr>
        <w:spacing w:line="360" w:lineRule="auto"/>
        <w:ind w:firstLine="442" w:firstLineChars="200"/>
        <w:rPr>
          <w:rFonts w:hint="eastAsia" w:ascii="仿宋" w:hAnsi="仿宋" w:eastAsia="仿宋"/>
          <w:sz w:val="24"/>
        </w:rPr>
      </w:pPr>
      <w:r>
        <w:rPr>
          <w:rFonts w:hint="eastAsia" w:ascii="仿宋" w:hAnsi="仿宋" w:eastAsia="仿宋"/>
          <w:sz w:val="24"/>
        </w:rPr>
        <w:t xml:space="preserve">6.5保修期后的服务：要求保修期满后，提供终身维护服务，只按厂价收取所换的材料费，不收取任何维护费用。乙方须无条件回答甲方咨询，如实提供配件报价。乙方在质保期和维护期内负责甲方的产品升级的服务工作，并提供相关的信息技术和跟进工作。应用软件终生免费升级。 </w:t>
      </w:r>
    </w:p>
    <w:p w14:paraId="193FB699">
      <w:pPr>
        <w:spacing w:line="360" w:lineRule="auto"/>
        <w:ind w:firstLine="442" w:firstLineChars="200"/>
        <w:rPr>
          <w:rFonts w:hint="eastAsia" w:ascii="仿宋" w:hAnsi="仿宋" w:eastAsia="仿宋"/>
          <w:sz w:val="24"/>
        </w:rPr>
      </w:pPr>
      <w:r>
        <w:rPr>
          <w:rFonts w:hint="eastAsia" w:ascii="仿宋" w:hAnsi="仿宋" w:eastAsia="仿宋"/>
          <w:sz w:val="24"/>
        </w:rPr>
        <w:t>6.6若甲方使用的是财政资金，甲方在合同规定的付款时间为向政府采购支付部门提出办理财政支付申请手续的时间，在规定时间内提出支付申请手续后即视为甲方是按期支付。</w:t>
      </w:r>
    </w:p>
    <w:p w14:paraId="3C4CC61A">
      <w:pPr>
        <w:spacing w:line="360" w:lineRule="auto"/>
        <w:ind w:firstLine="442" w:firstLineChars="200"/>
        <w:rPr>
          <w:rFonts w:hint="eastAsia" w:ascii="仿宋" w:hAnsi="仿宋" w:eastAsia="仿宋"/>
          <w:b/>
          <w:bCs/>
          <w:sz w:val="24"/>
        </w:rPr>
      </w:pPr>
      <w:r>
        <w:rPr>
          <w:rFonts w:hint="eastAsia" w:ascii="仿宋" w:hAnsi="仿宋" w:eastAsia="仿宋"/>
          <w:b/>
          <w:bCs/>
          <w:sz w:val="24"/>
        </w:rPr>
        <w:t>7.履约保证金</w:t>
      </w:r>
    </w:p>
    <w:p w14:paraId="6858A7F6">
      <w:pPr>
        <w:spacing w:line="360" w:lineRule="auto"/>
        <w:ind w:firstLine="442" w:firstLineChars="200"/>
        <w:rPr>
          <w:rFonts w:hint="eastAsia" w:ascii="仿宋" w:hAnsi="仿宋" w:eastAsia="仿宋"/>
          <w:sz w:val="24"/>
        </w:rPr>
      </w:pPr>
      <w:r>
        <w:rPr>
          <w:rFonts w:hint="eastAsia" w:ascii="仿宋" w:hAnsi="仿宋" w:eastAsia="仿宋"/>
          <w:sz w:val="24"/>
        </w:rPr>
        <w:t>7.1 履约保证期：合同验收合格之日起满</w:t>
      </w:r>
      <w:r>
        <w:rPr>
          <w:rFonts w:hint="eastAsia" w:ascii="仿宋" w:hAnsi="仿宋" w:eastAsia="仿宋"/>
          <w:bCs/>
          <w:sz w:val="24"/>
          <w:u w:val="single"/>
        </w:rPr>
        <w:t xml:space="preserve">  </w:t>
      </w:r>
      <w:r>
        <w:rPr>
          <w:rFonts w:hint="eastAsia" w:ascii="仿宋" w:hAnsi="仿宋" w:eastAsia="仿宋"/>
          <w:sz w:val="24"/>
        </w:rPr>
        <w:t>年止。</w:t>
      </w:r>
    </w:p>
    <w:p w14:paraId="2C308460">
      <w:pPr>
        <w:spacing w:line="360" w:lineRule="auto"/>
        <w:ind w:firstLine="442" w:firstLineChars="200"/>
        <w:rPr>
          <w:rFonts w:hint="eastAsia" w:ascii="仿宋" w:hAnsi="仿宋" w:eastAsia="仿宋"/>
          <w:sz w:val="24"/>
        </w:rPr>
      </w:pPr>
      <w:r>
        <w:rPr>
          <w:rFonts w:hint="eastAsia" w:ascii="仿宋" w:hAnsi="仿宋" w:eastAsia="仿宋"/>
          <w:sz w:val="24"/>
        </w:rPr>
        <w:t>7.2 合同签订后 15 个工作日内，乙方须按合同金额的5%，</w:t>
      </w:r>
      <w:r>
        <w:rPr>
          <w:rFonts w:hint="eastAsia" w:ascii="仿宋" w:hAnsi="仿宋" w:eastAsia="仿宋"/>
          <w:bCs/>
          <w:sz w:val="24"/>
        </w:rPr>
        <w:t>即人民币</w:t>
      </w:r>
      <w:r>
        <w:rPr>
          <w:rFonts w:hint="eastAsia" w:ascii="仿宋" w:hAnsi="仿宋" w:eastAsia="仿宋"/>
          <w:bCs/>
          <w:sz w:val="24"/>
          <w:u w:val="single"/>
        </w:rPr>
        <w:t xml:space="preserve"> 万仟佰元整（</w:t>
      </w:r>
      <w:r>
        <w:rPr>
          <w:rFonts w:hint="eastAsia" w:ascii="仿宋" w:hAnsi="仿宋" w:eastAsia="仿宋"/>
          <w:sz w:val="24"/>
          <w:u w:val="single"/>
        </w:rPr>
        <w:t>¥</w:t>
      </w:r>
      <w:r>
        <w:rPr>
          <w:rFonts w:hint="eastAsia" w:ascii="仿宋" w:hAnsi="仿宋" w:eastAsia="仿宋"/>
          <w:bCs/>
          <w:sz w:val="24"/>
          <w:u w:val="single"/>
        </w:rPr>
        <w:t>00000.00）</w:t>
      </w:r>
      <w:r>
        <w:rPr>
          <w:rFonts w:hint="eastAsia" w:ascii="仿宋" w:hAnsi="仿宋" w:eastAsia="仿宋"/>
          <w:sz w:val="24"/>
        </w:rPr>
        <w:t>，向甲方提交履约保证金（以支票、汇票、保函/电子保函同等有效等非现金形式提交），</w:t>
      </w:r>
      <w:r>
        <w:rPr>
          <w:rFonts w:hint="eastAsia" w:ascii="仿宋" w:hAnsi="仿宋" w:eastAsia="仿宋"/>
          <w:bCs/>
          <w:sz w:val="24"/>
        </w:rPr>
        <w:t>乙方逾期交纳履约保证金的，甲方按照逾期天数3倍的时间无息延长退还履约保证金的时间</w:t>
      </w:r>
      <w:r>
        <w:rPr>
          <w:rFonts w:hint="eastAsia" w:ascii="仿宋" w:hAnsi="仿宋" w:eastAsia="仿宋"/>
          <w:sz w:val="24"/>
        </w:rPr>
        <w:t xml:space="preserve">。 </w:t>
      </w:r>
    </w:p>
    <w:p w14:paraId="5C5321F4">
      <w:pPr>
        <w:spacing w:line="360" w:lineRule="auto"/>
        <w:ind w:firstLine="442" w:firstLineChars="200"/>
        <w:rPr>
          <w:rFonts w:hint="eastAsia" w:ascii="仿宋" w:hAnsi="仿宋" w:eastAsia="仿宋"/>
          <w:sz w:val="24"/>
        </w:rPr>
      </w:pPr>
      <w:r>
        <w:rPr>
          <w:rFonts w:hint="eastAsia" w:ascii="仿宋" w:hAnsi="仿宋" w:eastAsia="仿宋"/>
          <w:sz w:val="24"/>
        </w:rPr>
        <w:t>7.3如乙方不履行/不完全履行合同义务的，甲方有权直接从履约保证金中扣除相应违约金/损失赔偿款项，如免费保修期尚未届满的乙方应当及时补足履约保证金；履约保证金不足以扣除相应违约金/损失赔偿款项的，乙方应另行向甲方支付不足部分。</w:t>
      </w:r>
    </w:p>
    <w:p w14:paraId="7C4A67A0">
      <w:pPr>
        <w:spacing w:line="360" w:lineRule="auto"/>
        <w:ind w:firstLine="442" w:firstLineChars="200"/>
        <w:rPr>
          <w:rFonts w:hint="eastAsia" w:ascii="宋体" w:hAnsi="宋体" w:cs="宋体"/>
          <w:szCs w:val="21"/>
        </w:rPr>
      </w:pPr>
      <w:r>
        <w:rPr>
          <w:rFonts w:hint="eastAsia" w:ascii="仿宋" w:hAnsi="仿宋" w:eastAsia="仿宋"/>
          <w:sz w:val="24"/>
        </w:rPr>
        <w:t>7.4若乙方没有违约行为，履约保证金在履约保证期满，由乙方提出书面申请，甲方依法依规向乙方退还履约保证金的解除担保或完成履约保证金的一次性免息的支付手续。</w:t>
      </w:r>
    </w:p>
    <w:p w14:paraId="4D766B19">
      <w:pPr>
        <w:spacing w:line="360" w:lineRule="auto"/>
        <w:ind w:firstLine="442" w:firstLineChars="200"/>
        <w:rPr>
          <w:rFonts w:hint="eastAsia" w:ascii="仿宋" w:hAnsi="仿宋" w:eastAsia="仿宋"/>
          <w:sz w:val="24"/>
        </w:rPr>
      </w:pPr>
      <w:r>
        <w:rPr>
          <w:rFonts w:hint="eastAsia" w:ascii="仿宋" w:hAnsi="仿宋" w:eastAsia="仿宋"/>
          <w:sz w:val="24"/>
        </w:rPr>
        <w:t xml:space="preserve">7.5履约保证金不予退还的情形： </w:t>
      </w:r>
    </w:p>
    <w:p w14:paraId="52F76F3B">
      <w:pPr>
        <w:spacing w:line="360" w:lineRule="auto"/>
        <w:ind w:firstLine="442" w:firstLineChars="200"/>
        <w:rPr>
          <w:rFonts w:hint="eastAsia" w:ascii="仿宋" w:hAnsi="仿宋" w:eastAsia="仿宋"/>
          <w:sz w:val="24"/>
        </w:rPr>
      </w:pPr>
      <w:r>
        <w:rPr>
          <w:rFonts w:hint="eastAsia" w:ascii="仿宋" w:hAnsi="仿宋" w:eastAsia="仿宋"/>
          <w:sz w:val="24"/>
        </w:rPr>
        <w:t xml:space="preserve">（1）乙方拒绝履行合同义务的； </w:t>
      </w:r>
    </w:p>
    <w:p w14:paraId="7972F968">
      <w:pPr>
        <w:spacing w:line="360" w:lineRule="auto"/>
        <w:ind w:firstLine="442" w:firstLineChars="200"/>
        <w:rPr>
          <w:rFonts w:hint="eastAsia" w:ascii="仿宋" w:hAnsi="仿宋" w:eastAsia="仿宋"/>
          <w:b/>
          <w:sz w:val="24"/>
        </w:rPr>
      </w:pPr>
      <w:r>
        <w:rPr>
          <w:rFonts w:hint="eastAsia" w:ascii="仿宋" w:hAnsi="仿宋" w:eastAsia="仿宋"/>
          <w:sz w:val="24"/>
        </w:rPr>
        <w:t xml:space="preserve">（2）履约验收不合格的。                             </w:t>
      </w:r>
    </w:p>
    <w:p w14:paraId="4AD6F5DA">
      <w:pPr>
        <w:spacing w:line="360" w:lineRule="auto"/>
        <w:ind w:firstLine="433" w:firstLineChars="196"/>
        <w:rPr>
          <w:rFonts w:hint="eastAsia" w:ascii="仿宋" w:hAnsi="仿宋" w:eastAsia="仿宋"/>
          <w:b/>
          <w:sz w:val="24"/>
        </w:rPr>
      </w:pPr>
      <w:r>
        <w:rPr>
          <w:rFonts w:hint="eastAsia" w:ascii="仿宋" w:hAnsi="仿宋" w:eastAsia="仿宋"/>
          <w:b/>
          <w:sz w:val="24"/>
        </w:rPr>
        <w:t>8.付款办法</w:t>
      </w:r>
    </w:p>
    <w:p w14:paraId="33A29BC4">
      <w:pPr>
        <w:spacing w:line="360" w:lineRule="auto"/>
        <w:ind w:firstLine="442" w:firstLineChars="200"/>
        <w:rPr>
          <w:rFonts w:hint="eastAsia" w:ascii="仿宋" w:hAnsi="仿宋" w:eastAsia="仿宋"/>
          <w:sz w:val="24"/>
        </w:rPr>
      </w:pPr>
      <w:r>
        <w:rPr>
          <w:rFonts w:hint="eastAsia" w:ascii="仿宋" w:hAnsi="仿宋" w:eastAsia="仿宋"/>
          <w:sz w:val="24"/>
        </w:rPr>
        <w:t>8.1本合同的每笔款项以人民币支票或汇款方式支付，支付的时间和金额如下：</w:t>
      </w:r>
    </w:p>
    <w:p w14:paraId="003E7371">
      <w:pPr>
        <w:tabs>
          <w:tab w:val="left" w:pos="992"/>
        </w:tabs>
        <w:spacing w:line="360" w:lineRule="auto"/>
        <w:ind w:left="822" w:leftChars="257" w:hanging="332" w:hangingChars="150"/>
        <w:rPr>
          <w:rFonts w:hint="eastAsia" w:ascii="仿宋" w:hAnsi="仿宋" w:eastAsia="仿宋"/>
          <w:sz w:val="24"/>
        </w:rPr>
      </w:pPr>
      <w:r>
        <w:rPr>
          <w:rFonts w:hint="eastAsia" w:ascii="仿宋" w:hAnsi="仿宋" w:eastAsia="仿宋"/>
          <w:sz w:val="24"/>
        </w:rPr>
        <w:t>8</w:t>
      </w:r>
      <w:r>
        <w:rPr>
          <w:rFonts w:ascii="仿宋" w:hAnsi="仿宋" w:eastAsia="仿宋"/>
          <w:sz w:val="24"/>
        </w:rPr>
        <w:t>.</w:t>
      </w:r>
      <w:r>
        <w:rPr>
          <w:rFonts w:hint="eastAsia" w:ascii="仿宋" w:hAnsi="仿宋" w:eastAsia="仿宋"/>
          <w:sz w:val="24"/>
        </w:rPr>
        <w:t>1</w:t>
      </w:r>
      <w:r>
        <w:rPr>
          <w:rFonts w:ascii="仿宋" w:hAnsi="仿宋" w:eastAsia="仿宋"/>
          <w:sz w:val="24"/>
        </w:rPr>
        <w:t>.</w:t>
      </w:r>
      <w:r>
        <w:rPr>
          <w:rFonts w:hint="eastAsia" w:ascii="仿宋" w:hAnsi="仿宋" w:eastAsia="仿宋"/>
          <w:sz w:val="24"/>
        </w:rPr>
        <w:t>1合同设备全部到广州市海珠区石榴岗路13号大院南方医科大学中西医结合医院院内指定地点或采购人指定地点交付并完成安装及验收合格后，凭：</w:t>
      </w:r>
    </w:p>
    <w:p w14:paraId="76DF633B">
      <w:pPr>
        <w:numPr>
          <w:ilvl w:val="0"/>
          <w:numId w:val="16"/>
        </w:numPr>
        <w:spacing w:line="360" w:lineRule="auto"/>
        <w:rPr>
          <w:rFonts w:hint="eastAsia" w:ascii="仿宋" w:hAnsi="仿宋" w:eastAsia="仿宋"/>
          <w:sz w:val="24"/>
        </w:rPr>
      </w:pPr>
      <w:r>
        <w:rPr>
          <w:rFonts w:hint="eastAsia" w:ascii="仿宋" w:hAnsi="仿宋" w:eastAsia="仿宋"/>
          <w:sz w:val="24"/>
        </w:rPr>
        <w:t>甲方收货证明（或乙方送货单甲方签字）；</w:t>
      </w:r>
    </w:p>
    <w:p w14:paraId="72EEBC94">
      <w:pPr>
        <w:numPr>
          <w:ilvl w:val="0"/>
          <w:numId w:val="16"/>
        </w:numPr>
        <w:spacing w:line="360" w:lineRule="auto"/>
        <w:rPr>
          <w:rFonts w:hint="eastAsia" w:ascii="仿宋" w:hAnsi="仿宋" w:eastAsia="仿宋"/>
          <w:sz w:val="24"/>
        </w:rPr>
      </w:pPr>
      <w:r>
        <w:rPr>
          <w:rFonts w:hint="eastAsia" w:ascii="仿宋" w:hAnsi="仿宋" w:eastAsia="仿宋"/>
          <w:sz w:val="24"/>
        </w:rPr>
        <w:t>乙方开具的正式发票（发票中货物名称、型号规格必须与注册证一致，注册证号（卫生许可证号、卫生许可证批号或计量证号）全称在货物名称后标注）；</w:t>
      </w:r>
    </w:p>
    <w:p w14:paraId="4BC56271">
      <w:pPr>
        <w:numPr>
          <w:ilvl w:val="0"/>
          <w:numId w:val="16"/>
        </w:numPr>
        <w:spacing w:line="360" w:lineRule="auto"/>
        <w:rPr>
          <w:rFonts w:hint="eastAsia" w:ascii="仿宋" w:hAnsi="仿宋" w:eastAsia="仿宋"/>
          <w:sz w:val="24"/>
        </w:rPr>
      </w:pPr>
      <w:r>
        <w:rPr>
          <w:rFonts w:hint="eastAsia" w:ascii="仿宋" w:hAnsi="仿宋" w:eastAsia="仿宋"/>
          <w:sz w:val="24"/>
        </w:rPr>
        <w:t>调试使用意见（甲方验收报告）。</w:t>
      </w:r>
    </w:p>
    <w:p w14:paraId="6E5E5972">
      <w:pPr>
        <w:numPr>
          <w:ilvl w:val="0"/>
          <w:numId w:val="16"/>
        </w:numPr>
        <w:spacing w:line="360" w:lineRule="auto"/>
        <w:rPr>
          <w:rFonts w:hint="eastAsia" w:ascii="仿宋" w:hAnsi="仿宋" w:eastAsia="仿宋"/>
          <w:sz w:val="24"/>
        </w:rPr>
      </w:pPr>
      <w:r>
        <w:rPr>
          <w:rFonts w:hint="eastAsia" w:ascii="仿宋" w:hAnsi="仿宋" w:eastAsia="仿宋"/>
          <w:sz w:val="24"/>
        </w:rPr>
        <w:t>厂家出具的保修售后服务承诺书。</w:t>
      </w:r>
    </w:p>
    <w:p w14:paraId="349A66CC">
      <w:pPr>
        <w:numPr>
          <w:ilvl w:val="0"/>
          <w:numId w:val="16"/>
        </w:numPr>
        <w:spacing w:line="360" w:lineRule="auto"/>
        <w:rPr>
          <w:rFonts w:hint="eastAsia" w:ascii="仿宋" w:hAnsi="仿宋" w:eastAsia="仿宋"/>
          <w:sz w:val="24"/>
        </w:rPr>
      </w:pPr>
      <w:r>
        <w:rPr>
          <w:rFonts w:hint="eastAsia" w:ascii="仿宋" w:hAnsi="仿宋" w:eastAsia="仿宋"/>
          <w:bCs/>
          <w:sz w:val="24"/>
        </w:rPr>
        <w:t>履约保证金缴纳凭证;</w:t>
      </w:r>
    </w:p>
    <w:p w14:paraId="226667AB">
      <w:pPr>
        <w:spacing w:line="360" w:lineRule="auto"/>
        <w:ind w:firstLine="442" w:firstLineChars="200"/>
        <w:rPr>
          <w:rFonts w:hint="eastAsia" w:ascii="仿宋" w:hAnsi="仿宋" w:eastAsia="仿宋"/>
          <w:sz w:val="24"/>
        </w:rPr>
      </w:pPr>
      <w:r>
        <w:rPr>
          <w:rFonts w:hint="eastAsia" w:ascii="仿宋" w:hAnsi="仿宋" w:eastAsia="仿宋"/>
          <w:sz w:val="24"/>
        </w:rPr>
        <w:t>甲方在</w:t>
      </w:r>
      <w:r>
        <w:rPr>
          <w:rFonts w:hint="eastAsia" w:ascii="仿宋" w:hAnsi="仿宋" w:eastAsia="仿宋"/>
          <w:bCs/>
          <w:sz w:val="24"/>
        </w:rPr>
        <w:t>收到上述票据和资料。乙方开具正式发票且</w:t>
      </w:r>
      <w:r>
        <w:rPr>
          <w:rFonts w:hint="eastAsia" w:ascii="仿宋" w:hAnsi="仿宋" w:eastAsia="仿宋"/>
          <w:sz w:val="24"/>
          <w:u w:val="single"/>
        </w:rPr>
        <w:t>验收合格后</w:t>
      </w:r>
      <w:r>
        <w:rPr>
          <w:rFonts w:ascii="仿宋" w:hAnsi="仿宋" w:eastAsia="仿宋"/>
          <w:sz w:val="24"/>
          <w:u w:val="single"/>
        </w:rPr>
        <w:t>30</w:t>
      </w:r>
      <w:r>
        <w:rPr>
          <w:rFonts w:hint="eastAsia" w:ascii="仿宋" w:hAnsi="仿宋" w:eastAsia="仿宋"/>
          <w:sz w:val="24"/>
          <w:u w:val="single"/>
        </w:rPr>
        <w:t xml:space="preserve">个工作日内  </w:t>
      </w:r>
      <w:r>
        <w:rPr>
          <w:rFonts w:hint="eastAsia" w:ascii="仿宋" w:hAnsi="仿宋" w:eastAsia="仿宋"/>
          <w:sz w:val="24"/>
        </w:rPr>
        <w:t>内向乙方支付设备款总金额的100%，即:人民币</w:t>
      </w:r>
      <w:r>
        <w:rPr>
          <w:rFonts w:hint="eastAsia" w:ascii="仿宋" w:hAnsi="仿宋" w:eastAsia="仿宋"/>
          <w:sz w:val="24"/>
          <w:u w:val="single"/>
        </w:rPr>
        <w:t>万仟佰元整（¥00000.00）</w:t>
      </w:r>
    </w:p>
    <w:p w14:paraId="4DA3D081">
      <w:pPr>
        <w:spacing w:line="360" w:lineRule="auto"/>
        <w:ind w:firstLine="442" w:firstLineChars="200"/>
        <w:rPr>
          <w:rFonts w:hint="eastAsia" w:ascii="仿宋" w:hAnsi="仿宋" w:eastAsia="仿宋"/>
          <w:sz w:val="24"/>
        </w:rPr>
      </w:pPr>
      <w:r>
        <w:rPr>
          <w:rFonts w:hint="eastAsia" w:ascii="仿宋" w:hAnsi="仿宋" w:eastAsia="仿宋"/>
          <w:sz w:val="24"/>
        </w:rPr>
        <w:t>如因财政支付部门审核时间导致无法按期支付的，由甲乙协商处理，甲方不承担违约责任。</w:t>
      </w:r>
    </w:p>
    <w:p w14:paraId="2082C659">
      <w:pPr>
        <w:spacing w:line="360" w:lineRule="auto"/>
        <w:ind w:firstLine="540"/>
        <w:rPr>
          <w:rFonts w:hint="eastAsia" w:ascii="仿宋" w:hAnsi="仿宋" w:eastAsia="仿宋"/>
          <w:b/>
          <w:sz w:val="24"/>
        </w:rPr>
      </w:pPr>
      <w:r>
        <w:rPr>
          <w:rFonts w:hint="eastAsia" w:ascii="仿宋" w:hAnsi="仿宋" w:eastAsia="仿宋"/>
          <w:b/>
          <w:sz w:val="24"/>
        </w:rPr>
        <w:t>9.索赔</w:t>
      </w:r>
    </w:p>
    <w:p w14:paraId="540003DF">
      <w:pPr>
        <w:spacing w:line="360" w:lineRule="auto"/>
        <w:ind w:firstLine="540"/>
        <w:rPr>
          <w:rFonts w:hint="eastAsia" w:ascii="仿宋" w:hAnsi="仿宋" w:eastAsia="仿宋"/>
          <w:sz w:val="24"/>
        </w:rPr>
      </w:pPr>
      <w:r>
        <w:rPr>
          <w:rFonts w:hint="eastAsia" w:ascii="仿宋" w:hAnsi="仿宋" w:eastAsia="仿宋"/>
          <w:sz w:val="24"/>
        </w:rPr>
        <w:t>9.1 如有异议，甲方有权根据有关政府部门或者有资质的第三方检验检测结果向乙方提出索赔。</w:t>
      </w:r>
    </w:p>
    <w:p w14:paraId="1FA15D0D">
      <w:pPr>
        <w:spacing w:line="360" w:lineRule="auto"/>
        <w:ind w:firstLine="540"/>
        <w:rPr>
          <w:rFonts w:hint="eastAsia" w:ascii="仿宋" w:hAnsi="仿宋" w:eastAsia="仿宋"/>
          <w:sz w:val="24"/>
        </w:rPr>
      </w:pPr>
      <w:r>
        <w:rPr>
          <w:rFonts w:hint="eastAsia" w:ascii="仿宋" w:hAnsi="仿宋" w:eastAsia="仿宋"/>
          <w:sz w:val="24"/>
        </w:rPr>
        <w:t>9</w:t>
      </w:r>
      <w:r>
        <w:rPr>
          <w:rFonts w:ascii="仿宋" w:hAnsi="仿宋" w:eastAsia="仿宋"/>
          <w:sz w:val="24"/>
        </w:rPr>
        <w:t>.2</w:t>
      </w:r>
      <w:r>
        <w:rPr>
          <w:rFonts w:hint="eastAsia" w:ascii="仿宋" w:hAnsi="仿宋" w:eastAsia="仿宋"/>
          <w:sz w:val="24"/>
        </w:rPr>
        <w:t xml:space="preserve"> 在合同执行期间，如果乙方对甲方提出的索赔和差异负有责任，乙方应按照甲方同意的下列一种或多种方式解决索赔事宜：</w:t>
      </w:r>
    </w:p>
    <w:p w14:paraId="0C7B89CD">
      <w:pPr>
        <w:spacing w:line="360" w:lineRule="auto"/>
        <w:ind w:firstLine="498" w:firstLineChars="225"/>
        <w:rPr>
          <w:rFonts w:hint="eastAsia" w:ascii="仿宋" w:hAnsi="仿宋" w:eastAsia="仿宋"/>
          <w:sz w:val="24"/>
        </w:rPr>
      </w:pPr>
      <w:r>
        <w:rPr>
          <w:rFonts w:hint="eastAsia" w:ascii="仿宋" w:hAnsi="仿宋" w:eastAsia="仿宋"/>
          <w:sz w:val="24"/>
        </w:rPr>
        <w:t>（1）乙方同意退货，并按合同规定的同种货币将货款退还给甲方，并承担由此发生的一切损失和费用。</w:t>
      </w:r>
    </w:p>
    <w:p w14:paraId="7A623B49">
      <w:pPr>
        <w:tabs>
          <w:tab w:val="left" w:pos="1680"/>
        </w:tabs>
        <w:spacing w:line="360" w:lineRule="auto"/>
        <w:ind w:firstLine="498" w:firstLineChars="225"/>
        <w:rPr>
          <w:rFonts w:hint="eastAsia" w:ascii="仿宋" w:hAnsi="仿宋" w:eastAsia="仿宋"/>
          <w:sz w:val="24"/>
        </w:rPr>
      </w:pPr>
      <w:r>
        <w:rPr>
          <w:rFonts w:hint="eastAsia" w:ascii="仿宋" w:hAnsi="仿宋" w:eastAsia="仿宋"/>
          <w:sz w:val="24"/>
        </w:rPr>
        <w:t>（2）根据货物低劣程度、损坏程度以及甲方所遭受损失的数额甲乙双方商定降低货物的价格。</w:t>
      </w:r>
    </w:p>
    <w:p w14:paraId="25895A1B">
      <w:pPr>
        <w:tabs>
          <w:tab w:val="left" w:pos="1680"/>
        </w:tabs>
        <w:spacing w:line="360" w:lineRule="auto"/>
        <w:ind w:firstLine="498" w:firstLineChars="225"/>
        <w:rPr>
          <w:rFonts w:hint="eastAsia" w:ascii="仿宋" w:hAnsi="仿宋" w:eastAsia="仿宋"/>
          <w:sz w:val="24"/>
        </w:rPr>
      </w:pPr>
      <w:r>
        <w:rPr>
          <w:rFonts w:hint="eastAsia" w:ascii="仿宋" w:hAnsi="仿宋" w:eastAsia="仿宋"/>
          <w:sz w:val="24"/>
        </w:rPr>
        <w:t>（3）用符合规格、质量和性能要求的新零件、部件或货物来更换有缺陷的部分或修补缺陷的部分，乙方应承担一切费用和风险并负担甲方所发生的一切直接费用。同时，相应延长质量保证期。</w:t>
      </w:r>
    </w:p>
    <w:p w14:paraId="21527795">
      <w:pPr>
        <w:tabs>
          <w:tab w:val="left" w:pos="1680"/>
        </w:tabs>
        <w:spacing w:line="360" w:lineRule="auto"/>
        <w:ind w:firstLine="498" w:firstLineChars="225"/>
        <w:rPr>
          <w:rFonts w:hint="eastAsia" w:ascii="仿宋" w:hAnsi="仿宋" w:eastAsia="仿宋"/>
          <w:sz w:val="24"/>
        </w:rPr>
      </w:pPr>
      <w:r>
        <w:rPr>
          <w:rFonts w:hint="eastAsia" w:ascii="仿宋" w:hAnsi="仿宋" w:eastAsia="仿宋"/>
          <w:sz w:val="24"/>
        </w:rPr>
        <w:t>9</w:t>
      </w:r>
      <w:r>
        <w:rPr>
          <w:rFonts w:ascii="仿宋" w:hAnsi="仿宋" w:eastAsia="仿宋"/>
          <w:sz w:val="24"/>
        </w:rPr>
        <w:t>.3</w:t>
      </w:r>
      <w:r>
        <w:rPr>
          <w:rFonts w:hint="eastAsia" w:ascii="仿宋" w:hAnsi="仿宋" w:eastAsia="仿宋"/>
          <w:sz w:val="24"/>
        </w:rPr>
        <w:t>如果在甲方发出索赔通知后30天内，乙方未作答复，上述索赔应视为已被乙方接受。甲方将从合同款项或履约保证金中扣回索赔金额。如果这些金额不足以补偿索赔金额，甲方有权向乙方提出不足部分的补偿。</w:t>
      </w:r>
    </w:p>
    <w:p w14:paraId="73C24453">
      <w:pPr>
        <w:spacing w:line="360" w:lineRule="auto"/>
        <w:ind w:firstLine="540"/>
        <w:rPr>
          <w:rFonts w:hint="eastAsia" w:ascii="仿宋" w:hAnsi="仿宋" w:eastAsia="仿宋"/>
          <w:b/>
          <w:sz w:val="24"/>
        </w:rPr>
      </w:pPr>
      <w:r>
        <w:rPr>
          <w:rFonts w:hint="eastAsia" w:ascii="仿宋" w:hAnsi="仿宋" w:eastAsia="仿宋"/>
          <w:b/>
          <w:sz w:val="24"/>
        </w:rPr>
        <w:t>10.违约与处罚</w:t>
      </w:r>
    </w:p>
    <w:p w14:paraId="7EC42301">
      <w:pPr>
        <w:spacing w:line="360" w:lineRule="auto"/>
        <w:ind w:firstLine="540"/>
        <w:rPr>
          <w:rFonts w:hint="eastAsia" w:ascii="仿宋" w:hAnsi="仿宋" w:eastAsia="仿宋"/>
          <w:sz w:val="24"/>
        </w:rPr>
      </w:pPr>
      <w:r>
        <w:rPr>
          <w:rFonts w:hint="eastAsia" w:ascii="仿宋" w:hAnsi="仿宋" w:eastAsia="仿宋"/>
          <w:sz w:val="24"/>
        </w:rPr>
        <w:t>10</w:t>
      </w:r>
      <w:r>
        <w:rPr>
          <w:rFonts w:ascii="仿宋" w:hAnsi="仿宋" w:eastAsia="仿宋"/>
          <w:sz w:val="24"/>
        </w:rPr>
        <w:t>.1</w:t>
      </w:r>
      <w:r>
        <w:rPr>
          <w:rFonts w:hint="eastAsia" w:ascii="仿宋" w:hAnsi="仿宋" w:eastAsia="仿宋"/>
          <w:sz w:val="24"/>
        </w:rPr>
        <w:t>本合同生效后，如任何一方违约，守约方为维护权益，违约方除了承担违约金之外。还要承担守约方向违约方追究违约责任所支付的一切费用，包括但不限于律师费、诉讼费、保全费、公告费、鉴定费、差旅费等。</w:t>
      </w:r>
    </w:p>
    <w:p w14:paraId="457FCB22">
      <w:pPr>
        <w:spacing w:line="360" w:lineRule="auto"/>
        <w:ind w:firstLine="540"/>
        <w:rPr>
          <w:rFonts w:hint="eastAsia" w:ascii="仿宋" w:hAnsi="仿宋" w:eastAsia="仿宋"/>
          <w:sz w:val="24"/>
        </w:rPr>
      </w:pPr>
      <w:r>
        <w:rPr>
          <w:rFonts w:hint="eastAsia" w:ascii="仿宋" w:hAnsi="仿宋" w:eastAsia="仿宋"/>
          <w:sz w:val="24"/>
        </w:rPr>
        <w:t>10</w:t>
      </w:r>
      <w:r>
        <w:rPr>
          <w:rFonts w:ascii="仿宋" w:hAnsi="仿宋" w:eastAsia="仿宋"/>
          <w:sz w:val="24"/>
        </w:rPr>
        <w:t>.</w:t>
      </w:r>
      <w:r>
        <w:rPr>
          <w:rFonts w:hint="eastAsia" w:ascii="仿宋" w:hAnsi="仿宋" w:eastAsia="仿宋"/>
          <w:sz w:val="24"/>
        </w:rPr>
        <w:t>2乙方未能按时交货，每拖延一天，须向甲方支付合同金额的3‰的违约金。</w:t>
      </w:r>
    </w:p>
    <w:p w14:paraId="52A0B53C">
      <w:pPr>
        <w:spacing w:line="360" w:lineRule="auto"/>
        <w:ind w:firstLine="540"/>
        <w:rPr>
          <w:rFonts w:hint="eastAsia" w:ascii="仿宋" w:hAnsi="仿宋" w:eastAsia="仿宋"/>
          <w:sz w:val="24"/>
        </w:rPr>
      </w:pPr>
      <w:r>
        <w:rPr>
          <w:rFonts w:hint="eastAsia" w:ascii="仿宋" w:hAnsi="仿宋" w:eastAsia="仿宋"/>
          <w:sz w:val="24"/>
        </w:rPr>
        <w:t>10.3乙方交付的货物不符合合同规定的，甲方有权拒收，乙方向甲方支付合同金额的5%的违约金。</w:t>
      </w:r>
    </w:p>
    <w:p w14:paraId="7A55AF7C">
      <w:pPr>
        <w:spacing w:line="360" w:lineRule="auto"/>
        <w:ind w:firstLine="540"/>
        <w:rPr>
          <w:rFonts w:hint="eastAsia" w:ascii="仿宋" w:hAnsi="仿宋" w:eastAsia="仿宋"/>
          <w:sz w:val="24"/>
        </w:rPr>
      </w:pPr>
      <w:r>
        <w:rPr>
          <w:rFonts w:hint="eastAsia" w:ascii="仿宋" w:hAnsi="仿宋" w:eastAsia="仿宋"/>
          <w:sz w:val="24"/>
        </w:rPr>
        <w:t>10.4甲方无正当理由拒收货物的，甲方向乙方支付合同金额的5%的违约金。</w:t>
      </w:r>
    </w:p>
    <w:p w14:paraId="443A2F71">
      <w:pPr>
        <w:spacing w:line="360" w:lineRule="auto"/>
        <w:ind w:firstLine="540"/>
        <w:rPr>
          <w:rFonts w:hint="eastAsia" w:ascii="仿宋" w:hAnsi="仿宋" w:eastAsia="仿宋"/>
          <w:sz w:val="24"/>
        </w:rPr>
      </w:pPr>
      <w:r>
        <w:rPr>
          <w:rFonts w:hint="eastAsia" w:ascii="仿宋" w:hAnsi="仿宋" w:eastAsia="仿宋"/>
          <w:sz w:val="24"/>
        </w:rPr>
        <w:t>10.5乙方未能交付货物，则向甲方支付合同金额的7.5%的违约金。</w:t>
      </w:r>
    </w:p>
    <w:p w14:paraId="073AE496">
      <w:pPr>
        <w:spacing w:line="360" w:lineRule="auto"/>
        <w:ind w:firstLine="540"/>
        <w:rPr>
          <w:rFonts w:hint="eastAsia" w:ascii="仿宋" w:hAnsi="仿宋" w:eastAsia="仿宋"/>
          <w:sz w:val="24"/>
        </w:rPr>
      </w:pPr>
      <w:r>
        <w:rPr>
          <w:rFonts w:hint="eastAsia" w:ascii="仿宋" w:hAnsi="仿宋" w:eastAsia="仿宋"/>
          <w:sz w:val="24"/>
        </w:rPr>
        <w:t>10.6甲方因违约而必须支付的违约金总额不超过合同设备原值的10%。</w:t>
      </w:r>
    </w:p>
    <w:p w14:paraId="795FFC7F">
      <w:pPr>
        <w:spacing w:line="360" w:lineRule="auto"/>
        <w:ind w:firstLine="540"/>
        <w:rPr>
          <w:rFonts w:hint="eastAsia" w:ascii="仿宋" w:hAnsi="仿宋" w:eastAsia="仿宋"/>
          <w:b/>
          <w:sz w:val="24"/>
        </w:rPr>
      </w:pPr>
      <w:r>
        <w:rPr>
          <w:rFonts w:hint="eastAsia" w:ascii="仿宋" w:hAnsi="仿宋" w:eastAsia="仿宋"/>
          <w:b/>
          <w:sz w:val="24"/>
        </w:rPr>
        <w:t>11.合同终止</w:t>
      </w:r>
    </w:p>
    <w:p w14:paraId="72668234">
      <w:pPr>
        <w:spacing w:line="360" w:lineRule="auto"/>
        <w:ind w:firstLine="540"/>
        <w:rPr>
          <w:rFonts w:hint="eastAsia" w:ascii="仿宋" w:hAnsi="仿宋" w:eastAsia="仿宋"/>
          <w:sz w:val="24"/>
        </w:rPr>
      </w:pPr>
      <w:r>
        <w:rPr>
          <w:rFonts w:hint="eastAsia" w:ascii="仿宋" w:hAnsi="仿宋" w:eastAsia="仿宋"/>
          <w:sz w:val="24"/>
        </w:rPr>
        <w:t>如果一方违反合同约定，并在收到对方违约通知书后在30天内仍未能改正违约行为的，另一方可立即终止本合同。</w:t>
      </w:r>
    </w:p>
    <w:p w14:paraId="619DFEA6">
      <w:pPr>
        <w:spacing w:line="360" w:lineRule="auto"/>
        <w:ind w:firstLine="442" w:firstLineChars="200"/>
        <w:rPr>
          <w:rFonts w:hint="eastAsia" w:ascii="仿宋" w:hAnsi="仿宋" w:eastAsia="仿宋"/>
          <w:b/>
          <w:sz w:val="24"/>
        </w:rPr>
      </w:pPr>
      <w:r>
        <w:rPr>
          <w:rFonts w:ascii="仿宋" w:hAnsi="仿宋" w:eastAsia="仿宋"/>
          <w:b/>
          <w:sz w:val="24"/>
        </w:rPr>
        <w:t xml:space="preserve"> 1</w:t>
      </w:r>
      <w:r>
        <w:rPr>
          <w:rFonts w:hint="eastAsia" w:ascii="仿宋" w:hAnsi="仿宋" w:eastAsia="仿宋"/>
          <w:b/>
          <w:sz w:val="24"/>
        </w:rPr>
        <w:t>2.法律诉讼</w:t>
      </w:r>
    </w:p>
    <w:p w14:paraId="053F0697">
      <w:pPr>
        <w:spacing w:line="360" w:lineRule="auto"/>
        <w:ind w:firstLine="540"/>
        <w:rPr>
          <w:rFonts w:hint="eastAsia" w:ascii="仿宋" w:hAnsi="仿宋" w:eastAsia="仿宋"/>
          <w:sz w:val="24"/>
        </w:rPr>
      </w:pPr>
      <w:r>
        <w:rPr>
          <w:rFonts w:hint="eastAsia" w:ascii="仿宋" w:hAnsi="仿宋" w:eastAsia="仿宋"/>
          <w:sz w:val="24"/>
        </w:rPr>
        <w:t>签约双方在履约中发生争执和分歧，双方应通过友好协商解决，若经协商不能达成协议时，则向甲方所在地人民法院提起诉讼。受理期间，双方应继续执行合同其余部分。</w:t>
      </w:r>
    </w:p>
    <w:p w14:paraId="5DEC91FD">
      <w:pPr>
        <w:spacing w:line="360" w:lineRule="auto"/>
        <w:ind w:firstLine="442" w:firstLineChars="200"/>
        <w:rPr>
          <w:rFonts w:hint="eastAsia" w:ascii="仿宋" w:hAnsi="仿宋" w:eastAsia="仿宋"/>
          <w:b/>
          <w:sz w:val="24"/>
        </w:rPr>
      </w:pPr>
      <w:r>
        <w:rPr>
          <w:rFonts w:ascii="仿宋" w:hAnsi="仿宋" w:eastAsia="仿宋"/>
          <w:b/>
          <w:sz w:val="24"/>
        </w:rPr>
        <w:t>1</w:t>
      </w:r>
      <w:r>
        <w:rPr>
          <w:rFonts w:hint="eastAsia" w:ascii="仿宋" w:hAnsi="仿宋" w:eastAsia="仿宋"/>
          <w:b/>
          <w:sz w:val="24"/>
        </w:rPr>
        <w:t>3.其他</w:t>
      </w:r>
    </w:p>
    <w:p w14:paraId="57A98D85">
      <w:pPr>
        <w:spacing w:line="360" w:lineRule="auto"/>
        <w:ind w:firstLine="540"/>
        <w:rPr>
          <w:rFonts w:hint="eastAsia" w:ascii="仿宋" w:hAnsi="仿宋" w:eastAsia="仿宋"/>
          <w:sz w:val="24"/>
        </w:rPr>
      </w:pPr>
      <w:r>
        <w:rPr>
          <w:rFonts w:ascii="仿宋" w:hAnsi="仿宋" w:eastAsia="仿宋"/>
          <w:sz w:val="24"/>
        </w:rPr>
        <w:t>1</w:t>
      </w:r>
      <w:r>
        <w:rPr>
          <w:rFonts w:hint="eastAsia" w:ascii="仿宋" w:hAnsi="仿宋" w:eastAsia="仿宋"/>
          <w:sz w:val="24"/>
        </w:rPr>
        <w:t>3</w:t>
      </w:r>
      <w:r>
        <w:rPr>
          <w:rFonts w:ascii="仿宋" w:hAnsi="仿宋" w:eastAsia="仿宋"/>
          <w:sz w:val="24"/>
        </w:rPr>
        <w:t>.1</w:t>
      </w:r>
      <w:r>
        <w:rPr>
          <w:rFonts w:hint="eastAsia" w:ascii="仿宋" w:hAnsi="仿宋" w:eastAsia="仿宋"/>
          <w:sz w:val="24"/>
        </w:rPr>
        <w:t>双方对送达地址约定如下：</w:t>
      </w:r>
    </w:p>
    <w:p w14:paraId="1EA715C3">
      <w:pPr>
        <w:spacing w:line="360" w:lineRule="auto"/>
        <w:ind w:firstLine="540"/>
        <w:rPr>
          <w:rFonts w:hint="eastAsia" w:ascii="仿宋" w:hAnsi="仿宋" w:eastAsia="仿宋"/>
          <w:sz w:val="24"/>
        </w:rPr>
      </w:pPr>
      <w:r>
        <w:rPr>
          <w:rFonts w:hint="eastAsia" w:ascii="仿宋" w:hAnsi="仿宋" w:eastAsia="仿宋"/>
          <w:sz w:val="24"/>
        </w:rPr>
        <w:t>（1）甲方指定联系人：罗莉</w:t>
      </w:r>
    </w:p>
    <w:p w14:paraId="0AFAA9A4">
      <w:pPr>
        <w:spacing w:line="360" w:lineRule="auto"/>
        <w:ind w:firstLine="940" w:firstLineChars="425"/>
        <w:rPr>
          <w:rFonts w:hint="eastAsia" w:ascii="仿宋" w:hAnsi="仿宋" w:eastAsia="仿宋"/>
          <w:sz w:val="24"/>
        </w:rPr>
      </w:pPr>
      <w:r>
        <w:rPr>
          <w:rFonts w:hint="eastAsia" w:ascii="仿宋" w:hAnsi="仿宋" w:eastAsia="仿宋"/>
          <w:sz w:val="24"/>
        </w:rPr>
        <w:t>送达地址：南方医科大学中西医结合医院设备科</w:t>
      </w:r>
    </w:p>
    <w:p w14:paraId="4D4ABD36">
      <w:pPr>
        <w:spacing w:line="360" w:lineRule="auto"/>
        <w:ind w:firstLine="940" w:firstLineChars="425"/>
        <w:rPr>
          <w:rFonts w:hint="eastAsia" w:ascii="仿宋" w:hAnsi="仿宋" w:eastAsia="仿宋"/>
          <w:sz w:val="24"/>
        </w:rPr>
      </w:pPr>
      <w:r>
        <w:rPr>
          <w:rFonts w:hint="eastAsia" w:ascii="仿宋" w:hAnsi="仿宋" w:eastAsia="仿宋"/>
          <w:sz w:val="24"/>
        </w:rPr>
        <w:t xml:space="preserve">联系电话：61650082  </w:t>
      </w:r>
    </w:p>
    <w:p w14:paraId="4749A924">
      <w:pPr>
        <w:numPr>
          <w:ilvl w:val="0"/>
          <w:numId w:val="17"/>
        </w:numPr>
        <w:spacing w:line="360" w:lineRule="auto"/>
        <w:ind w:firstLine="540"/>
        <w:rPr>
          <w:rFonts w:hint="eastAsia" w:ascii="仿宋" w:hAnsi="仿宋" w:eastAsia="仿宋"/>
          <w:sz w:val="24"/>
        </w:rPr>
      </w:pPr>
      <w:r>
        <w:rPr>
          <w:rFonts w:hint="eastAsia" w:ascii="仿宋" w:hAnsi="仿宋" w:eastAsia="仿宋"/>
          <w:sz w:val="24"/>
        </w:rPr>
        <w:t>乙方指定联系人：</w:t>
      </w:r>
    </w:p>
    <w:p w14:paraId="6FEAB2D3">
      <w:pPr>
        <w:spacing w:line="360" w:lineRule="auto"/>
        <w:ind w:firstLine="884" w:firstLineChars="400"/>
        <w:rPr>
          <w:rFonts w:hint="eastAsia" w:ascii="仿宋" w:hAnsi="仿宋" w:eastAsia="仿宋"/>
          <w:sz w:val="24"/>
        </w:rPr>
      </w:pPr>
      <w:r>
        <w:rPr>
          <w:rFonts w:hint="eastAsia" w:ascii="仿宋" w:hAnsi="仿宋" w:eastAsia="仿宋"/>
          <w:sz w:val="24"/>
        </w:rPr>
        <w:t>送达地址：</w:t>
      </w:r>
    </w:p>
    <w:p w14:paraId="19DB464F">
      <w:pPr>
        <w:spacing w:line="360" w:lineRule="auto"/>
        <w:ind w:firstLine="884" w:firstLineChars="400"/>
        <w:rPr>
          <w:rFonts w:hint="eastAsia" w:ascii="仿宋" w:hAnsi="仿宋" w:eastAsia="仿宋"/>
          <w:sz w:val="24"/>
        </w:rPr>
      </w:pPr>
      <w:r>
        <w:rPr>
          <w:rFonts w:hint="eastAsia" w:ascii="仿宋" w:hAnsi="仿宋" w:eastAsia="仿宋"/>
          <w:sz w:val="24"/>
        </w:rPr>
        <w:t>联系电话：</w:t>
      </w:r>
    </w:p>
    <w:p w14:paraId="0C250FB5">
      <w:pPr>
        <w:spacing w:line="360" w:lineRule="auto"/>
        <w:ind w:firstLine="540"/>
        <w:rPr>
          <w:rFonts w:hint="eastAsia" w:ascii="仿宋" w:hAnsi="仿宋" w:eastAsia="仿宋"/>
          <w:sz w:val="24"/>
        </w:rPr>
      </w:pPr>
      <w:r>
        <w:rPr>
          <w:rFonts w:hint="eastAsia" w:ascii="仿宋" w:hAnsi="仿宋" w:eastAsia="仿宋"/>
          <w:sz w:val="24"/>
        </w:rPr>
        <w:t>该送达地址适用于非诉时各类通知、函件、协议等文件的送达。任意一方地址或指定联系人信息发生变更，应在7个工作日内书面告知对方，否则因未告知或未及时告知，对方按照上述送达地址寄出的各类文件，快递物流到达之日视为已送达，由此引发的一切法律后果由未履行或未及时履行告知义务的一方自行承担。</w:t>
      </w:r>
    </w:p>
    <w:p w14:paraId="04D83F6A">
      <w:pPr>
        <w:spacing w:line="360" w:lineRule="auto"/>
        <w:ind w:firstLine="540"/>
        <w:rPr>
          <w:rFonts w:hint="eastAsia" w:ascii="仿宋" w:hAnsi="仿宋" w:eastAsia="仿宋"/>
          <w:sz w:val="24"/>
        </w:rPr>
      </w:pPr>
      <w:r>
        <w:rPr>
          <w:rFonts w:hint="eastAsia" w:ascii="仿宋" w:hAnsi="仿宋" w:eastAsia="仿宋"/>
          <w:sz w:val="24"/>
        </w:rPr>
        <w:t>13.2除甲方事先书面同意外，乙方不得部分或全部转让其应履行的合同项下的义务。</w:t>
      </w:r>
    </w:p>
    <w:p w14:paraId="770582DF">
      <w:pPr>
        <w:spacing w:line="360" w:lineRule="auto"/>
        <w:ind w:firstLine="540"/>
        <w:rPr>
          <w:rFonts w:hint="eastAsia" w:ascii="仿宋" w:hAnsi="仿宋" w:eastAsia="仿宋"/>
          <w:sz w:val="24"/>
        </w:rPr>
      </w:pPr>
      <w:r>
        <w:rPr>
          <w:rFonts w:hint="eastAsia" w:ascii="仿宋" w:hAnsi="仿宋" w:eastAsia="仿宋"/>
          <w:sz w:val="24"/>
        </w:rPr>
        <w:t xml:space="preserve">13.3任何一方由于不可抗力原因不能履行合同时，应在不可抗力事件结束后 1 天内向对方通报，以减轻可能给对方造成的损失，在取得有关机构的不可抗力证明 或双方谅解确认后，允许延期履行或修订合同，并根据情况可部分或全部免于承担违约责任。 </w:t>
      </w:r>
    </w:p>
    <w:p w14:paraId="297A9C26">
      <w:pPr>
        <w:spacing w:line="360" w:lineRule="auto"/>
        <w:ind w:firstLine="540"/>
        <w:rPr>
          <w:rFonts w:hint="eastAsia" w:ascii="仿宋" w:hAnsi="仿宋" w:eastAsia="仿宋"/>
          <w:sz w:val="24"/>
        </w:rPr>
      </w:pPr>
      <w:r>
        <w:rPr>
          <w:rFonts w:hint="eastAsia" w:ascii="仿宋" w:hAnsi="仿宋" w:eastAsia="仿宋"/>
          <w:sz w:val="24"/>
        </w:rPr>
        <w:t xml:space="preserve">不可抗力是指在合同订立后发生当事人在订立合同时不能预见、不能避免、 </w:t>
      </w:r>
    </w:p>
    <w:p w14:paraId="5FC53073">
      <w:pPr>
        <w:spacing w:line="360" w:lineRule="auto"/>
        <w:ind w:firstLine="540"/>
        <w:rPr>
          <w:rFonts w:hint="eastAsia" w:ascii="仿宋" w:hAnsi="仿宋" w:eastAsia="仿宋"/>
          <w:sz w:val="24"/>
        </w:rPr>
      </w:pPr>
      <w:r>
        <w:rPr>
          <w:rFonts w:hint="eastAsia" w:ascii="仿宋" w:hAnsi="仿宋" w:eastAsia="仿宋"/>
          <w:sz w:val="24"/>
        </w:rPr>
        <w:t>不可控制的意外事故，包括自然灾害、政府行为、社会异常时间等。</w:t>
      </w:r>
    </w:p>
    <w:p w14:paraId="2AE09308">
      <w:pPr>
        <w:spacing w:line="360" w:lineRule="auto"/>
        <w:ind w:firstLine="540"/>
        <w:rPr>
          <w:rFonts w:hint="eastAsia" w:ascii="仿宋" w:hAnsi="仿宋" w:eastAsia="仿宋"/>
          <w:sz w:val="24"/>
        </w:rPr>
      </w:pPr>
      <w:r>
        <w:rPr>
          <w:rFonts w:hint="eastAsia" w:ascii="仿宋" w:hAnsi="仿宋" w:eastAsia="仿宋"/>
          <w:sz w:val="24"/>
        </w:rPr>
        <w:t>13.4本合同正本陆份，具有同等法律效力，甲方持肆份，乙方持贰份。合同自双方签字盖章之日起生效。</w:t>
      </w:r>
    </w:p>
    <w:p w14:paraId="047558ED">
      <w:pPr>
        <w:spacing w:line="360" w:lineRule="auto"/>
        <w:ind w:firstLine="540"/>
        <w:rPr>
          <w:rFonts w:hint="eastAsia" w:ascii="仿宋" w:hAnsi="仿宋" w:eastAsia="仿宋"/>
          <w:sz w:val="24"/>
        </w:rPr>
      </w:pPr>
      <w:r>
        <w:rPr>
          <w:rFonts w:hint="eastAsia" w:ascii="仿宋" w:hAnsi="仿宋" w:eastAsia="仿宋"/>
          <w:sz w:val="24"/>
        </w:rPr>
        <w:t>13.5本合同末尽事宜，由双方协商处理。</w:t>
      </w:r>
    </w:p>
    <w:p w14:paraId="24E1265C">
      <w:pPr>
        <w:spacing w:line="360" w:lineRule="auto"/>
        <w:ind w:firstLine="540"/>
        <w:rPr>
          <w:rFonts w:hint="eastAsia" w:ascii="仿宋" w:hAnsi="仿宋" w:eastAsia="仿宋"/>
          <w:sz w:val="24"/>
        </w:rPr>
      </w:pPr>
    </w:p>
    <w:tbl>
      <w:tblPr>
        <w:tblStyle w:val="32"/>
        <w:tblpPr w:leftFromText="180" w:rightFromText="180" w:vertAnchor="text" w:horzAnchor="page" w:tblpX="1668" w:tblpY="134"/>
        <w:tblOverlap w:val="neve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4"/>
      </w:tblGrid>
      <w:tr w14:paraId="2AEE9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tcPr>
          <w:p w14:paraId="6C895BFB">
            <w:pPr>
              <w:spacing w:line="360" w:lineRule="auto"/>
              <w:rPr>
                <w:rFonts w:hint="eastAsia" w:ascii="仿宋" w:hAnsi="仿宋" w:eastAsia="仿宋"/>
                <w:b/>
                <w:sz w:val="28"/>
                <w:szCs w:val="28"/>
              </w:rPr>
            </w:pPr>
            <w:r>
              <w:rPr>
                <w:rFonts w:hint="eastAsia" w:ascii="仿宋" w:hAnsi="仿宋" w:eastAsia="仿宋"/>
                <w:b/>
                <w:sz w:val="28"/>
                <w:szCs w:val="28"/>
              </w:rPr>
              <w:t>使用科室：</w:t>
            </w:r>
          </w:p>
          <w:p w14:paraId="6C9A8DBD">
            <w:pPr>
              <w:spacing w:line="360" w:lineRule="auto"/>
              <w:ind w:firstLine="511" w:firstLineChars="196"/>
              <w:rPr>
                <w:rFonts w:hint="eastAsia" w:ascii="仿宋" w:hAnsi="仿宋" w:eastAsia="仿宋"/>
                <w:b/>
                <w:sz w:val="28"/>
                <w:szCs w:val="28"/>
              </w:rPr>
            </w:pPr>
            <w:r>
              <w:rPr>
                <w:rFonts w:hint="eastAsia" w:ascii="仿宋" w:hAnsi="仿宋" w:eastAsia="仿宋"/>
                <w:b/>
                <w:sz w:val="28"/>
                <w:szCs w:val="28"/>
              </w:rPr>
              <w:t>已阅读本合同内所有内容，对合同内所涉及设备、服务、保修、耗材等商务及技术条款确认无误，满足我单位临床医疗(科研、教学)使用。</w:t>
            </w:r>
          </w:p>
          <w:p w14:paraId="003C78AF">
            <w:pPr>
              <w:spacing w:line="360" w:lineRule="auto"/>
              <w:ind w:firstLine="3498" w:firstLineChars="1340"/>
              <w:rPr>
                <w:rFonts w:hint="eastAsia" w:ascii="仿宋" w:hAnsi="仿宋" w:eastAsia="仿宋"/>
                <w:b/>
                <w:sz w:val="28"/>
                <w:szCs w:val="28"/>
              </w:rPr>
            </w:pPr>
            <w:r>
              <w:rPr>
                <w:rFonts w:hint="eastAsia" w:ascii="仿宋" w:hAnsi="仿宋" w:eastAsia="仿宋"/>
                <w:b/>
                <w:sz w:val="28"/>
                <w:szCs w:val="28"/>
              </w:rPr>
              <w:t>使用科室（用户）签字：</w:t>
            </w:r>
          </w:p>
        </w:tc>
      </w:tr>
    </w:tbl>
    <w:p w14:paraId="1D1C8242">
      <w:pPr>
        <w:spacing w:line="360" w:lineRule="auto"/>
        <w:rPr>
          <w:rFonts w:hint="eastAsia" w:ascii="仿宋" w:hAnsi="仿宋" w:eastAsia="仿宋"/>
          <w:sz w:val="24"/>
        </w:rPr>
      </w:pPr>
    </w:p>
    <w:p w14:paraId="69BDE348">
      <w:pPr>
        <w:spacing w:line="360" w:lineRule="auto"/>
        <w:ind w:firstLine="540"/>
        <w:rPr>
          <w:rFonts w:hint="eastAsia" w:ascii="仿宋" w:hAnsi="仿宋" w:eastAsia="仿宋"/>
          <w:sz w:val="24"/>
        </w:rPr>
      </w:pPr>
    </w:p>
    <w:p w14:paraId="34C54209">
      <w:pPr>
        <w:spacing w:line="360" w:lineRule="auto"/>
        <w:ind w:firstLine="540"/>
        <w:rPr>
          <w:rFonts w:hint="eastAsia" w:ascii="仿宋" w:hAnsi="仿宋" w:eastAsia="仿宋"/>
          <w:sz w:val="24"/>
        </w:rPr>
      </w:pPr>
    </w:p>
    <w:p w14:paraId="0E8316EF">
      <w:pPr>
        <w:spacing w:line="360" w:lineRule="auto"/>
        <w:rPr>
          <w:rFonts w:hint="eastAsia" w:ascii="仿宋" w:hAnsi="仿宋" w:eastAsia="仿宋"/>
          <w:sz w:val="24"/>
        </w:rPr>
      </w:pPr>
    </w:p>
    <w:p w14:paraId="56138320">
      <w:pPr>
        <w:spacing w:line="360" w:lineRule="auto"/>
        <w:rPr>
          <w:rFonts w:hint="eastAsia" w:ascii="仿宋" w:hAnsi="仿宋" w:eastAsia="仿宋"/>
          <w:sz w:val="24"/>
        </w:rPr>
      </w:pPr>
    </w:p>
    <w:p w14:paraId="459A3439">
      <w:pPr>
        <w:spacing w:line="360" w:lineRule="auto"/>
        <w:rPr>
          <w:rFonts w:hint="eastAsia" w:ascii="仿宋" w:hAnsi="仿宋" w:eastAsia="仿宋"/>
          <w:sz w:val="24"/>
        </w:rPr>
      </w:pPr>
      <w:r>
        <w:rPr>
          <w:rFonts w:hint="eastAsia" w:ascii="仿宋" w:hAnsi="仿宋" w:eastAsia="仿宋"/>
          <w:sz w:val="24"/>
        </w:rPr>
        <w:t xml:space="preserve">甲方：南方医科大学中西医结合医院     乙方： </w:t>
      </w:r>
    </w:p>
    <w:p w14:paraId="47D24121">
      <w:pPr>
        <w:spacing w:line="360" w:lineRule="auto"/>
        <w:rPr>
          <w:rFonts w:hint="eastAsia" w:ascii="仿宋" w:hAnsi="仿宋" w:eastAsia="仿宋"/>
          <w:sz w:val="24"/>
        </w:rPr>
      </w:pPr>
    </w:p>
    <w:p w14:paraId="68196155">
      <w:pPr>
        <w:spacing w:line="360" w:lineRule="auto"/>
        <w:rPr>
          <w:rFonts w:hint="eastAsia" w:ascii="仿宋" w:hAnsi="仿宋" w:eastAsia="仿宋"/>
          <w:sz w:val="24"/>
        </w:rPr>
      </w:pPr>
      <w:r>
        <w:rPr>
          <w:rFonts w:hint="eastAsia" w:ascii="仿宋" w:hAnsi="仿宋" w:eastAsia="仿宋"/>
          <w:sz w:val="24"/>
        </w:rPr>
        <w:t>法人代表：</w:t>
      </w:r>
      <w:r>
        <w:rPr>
          <w:rFonts w:hint="eastAsia" w:ascii="仿宋" w:hAnsi="仿宋" w:eastAsia="仿宋"/>
          <w:sz w:val="24"/>
        </w:rPr>
        <w:tab/>
      </w:r>
      <w:r>
        <w:rPr>
          <w:rFonts w:hint="eastAsia" w:ascii="仿宋" w:hAnsi="仿宋" w:eastAsia="仿宋"/>
          <w:sz w:val="24"/>
        </w:rPr>
        <w:tab/>
      </w:r>
      <w:r>
        <w:rPr>
          <w:rFonts w:hint="eastAsia" w:ascii="仿宋" w:hAnsi="仿宋" w:eastAsia="仿宋"/>
          <w:sz w:val="24"/>
        </w:rPr>
        <w:tab/>
      </w:r>
      <w:r>
        <w:rPr>
          <w:rFonts w:hint="eastAsia" w:ascii="仿宋" w:hAnsi="仿宋" w:eastAsia="仿宋"/>
          <w:sz w:val="24"/>
        </w:rPr>
        <w:t xml:space="preserve">                   法人代表： </w:t>
      </w:r>
    </w:p>
    <w:p w14:paraId="30B7EB9F">
      <w:pPr>
        <w:spacing w:line="360" w:lineRule="auto"/>
        <w:rPr>
          <w:rFonts w:hint="eastAsia" w:ascii="仿宋" w:hAnsi="仿宋" w:eastAsia="仿宋"/>
          <w:sz w:val="24"/>
        </w:rPr>
      </w:pPr>
    </w:p>
    <w:p w14:paraId="1AD70243">
      <w:pPr>
        <w:spacing w:line="360" w:lineRule="auto"/>
        <w:rPr>
          <w:rFonts w:hint="eastAsia" w:ascii="仿宋" w:hAnsi="仿宋" w:eastAsia="仿宋"/>
          <w:sz w:val="24"/>
        </w:rPr>
      </w:pPr>
      <w:r>
        <w:rPr>
          <w:rFonts w:hint="eastAsia" w:ascii="仿宋" w:hAnsi="仿宋" w:eastAsia="仿宋"/>
          <w:sz w:val="24"/>
        </w:rPr>
        <w:t xml:space="preserve">经办部门负责人 ：                    签约代表： </w:t>
      </w:r>
    </w:p>
    <w:p w14:paraId="457E9377">
      <w:pPr>
        <w:spacing w:line="360" w:lineRule="auto"/>
        <w:ind w:left="5330" w:hanging="5333" w:hangingChars="2413"/>
        <w:rPr>
          <w:rFonts w:hint="eastAsia" w:ascii="仿宋" w:hAnsi="仿宋" w:eastAsia="仿宋"/>
          <w:sz w:val="24"/>
        </w:rPr>
      </w:pPr>
    </w:p>
    <w:p w14:paraId="23EC0EE1">
      <w:pPr>
        <w:spacing w:line="360" w:lineRule="auto"/>
        <w:ind w:left="5330" w:hanging="5333" w:hangingChars="2413"/>
        <w:rPr>
          <w:rFonts w:hint="eastAsia" w:ascii="仿宋" w:hAnsi="仿宋" w:eastAsia="仿宋"/>
          <w:sz w:val="24"/>
        </w:rPr>
      </w:pPr>
      <w:r>
        <w:rPr>
          <w:rFonts w:hint="eastAsia" w:ascii="仿宋" w:hAnsi="仿宋" w:eastAsia="仿宋"/>
          <w:sz w:val="24"/>
        </w:rPr>
        <w:t xml:space="preserve">地址：广州市石榴岗路13号大院        地址：   </w:t>
      </w:r>
    </w:p>
    <w:p w14:paraId="32038EA1">
      <w:pPr>
        <w:spacing w:line="360" w:lineRule="auto"/>
        <w:rPr>
          <w:rFonts w:hint="eastAsia" w:ascii="仿宋" w:hAnsi="仿宋" w:eastAsia="仿宋"/>
          <w:sz w:val="24"/>
        </w:rPr>
      </w:pPr>
      <w:r>
        <w:rPr>
          <w:rFonts w:hint="eastAsia" w:ascii="仿宋" w:hAnsi="仿宋" w:eastAsia="仿宋"/>
          <w:sz w:val="24"/>
        </w:rPr>
        <w:t xml:space="preserve">电话：020-61650000                   电话： </w:t>
      </w:r>
    </w:p>
    <w:p w14:paraId="4D837581">
      <w:pPr>
        <w:spacing w:line="360" w:lineRule="auto"/>
        <w:rPr>
          <w:rFonts w:hint="eastAsia" w:ascii="仿宋" w:hAnsi="仿宋" w:eastAsia="仿宋"/>
          <w:sz w:val="24"/>
        </w:rPr>
      </w:pPr>
      <w:r>
        <w:rPr>
          <w:rFonts w:hint="eastAsia" w:ascii="仿宋" w:hAnsi="仿宋" w:eastAsia="仿宋"/>
          <w:sz w:val="24"/>
        </w:rPr>
        <w:t>传真: 020-61650014                   传真：</w:t>
      </w:r>
    </w:p>
    <w:p w14:paraId="473FA67C">
      <w:pPr>
        <w:spacing w:line="360" w:lineRule="auto"/>
        <w:rPr>
          <w:rFonts w:hint="eastAsia" w:ascii="仿宋" w:hAnsi="仿宋" w:eastAsia="仿宋"/>
          <w:sz w:val="24"/>
        </w:rPr>
      </w:pPr>
    </w:p>
    <w:p w14:paraId="6FE2CDF8">
      <w:pPr>
        <w:spacing w:line="360" w:lineRule="auto"/>
        <w:rPr>
          <w:rFonts w:hint="eastAsia" w:ascii="仿宋" w:hAnsi="仿宋" w:eastAsia="仿宋"/>
          <w:sz w:val="24"/>
        </w:rPr>
      </w:pPr>
      <w:r>
        <w:rPr>
          <w:rFonts w:hint="eastAsia" w:ascii="仿宋" w:hAnsi="仿宋" w:eastAsia="仿宋"/>
          <w:sz w:val="24"/>
        </w:rPr>
        <w:t xml:space="preserve">签约日期：     年     月     日   </w:t>
      </w:r>
      <w:r>
        <w:rPr>
          <w:rFonts w:hint="eastAsia" w:ascii="仿宋" w:hAnsi="仿宋" w:eastAsia="仿宋"/>
          <w:sz w:val="24"/>
        </w:rPr>
        <w:tab/>
      </w:r>
      <w:r>
        <w:rPr>
          <w:rFonts w:hint="eastAsia" w:ascii="仿宋" w:hAnsi="仿宋" w:eastAsia="仿宋"/>
          <w:sz w:val="24"/>
        </w:rPr>
        <w:t xml:space="preserve">  签约日期：       年     月    日</w:t>
      </w:r>
    </w:p>
    <w:p w14:paraId="6B0484A6">
      <w:pPr>
        <w:spacing w:line="360" w:lineRule="auto"/>
        <w:rPr>
          <w:rFonts w:hint="eastAsia" w:ascii="仿宋" w:hAnsi="仿宋" w:eastAsia="仿宋"/>
          <w:sz w:val="24"/>
        </w:rPr>
      </w:pPr>
    </w:p>
    <w:p w14:paraId="2761C154">
      <w:pPr>
        <w:spacing w:line="360" w:lineRule="auto"/>
        <w:rPr>
          <w:rFonts w:hint="eastAsia" w:ascii="仿宋" w:hAnsi="仿宋" w:eastAsia="仿宋"/>
          <w:sz w:val="24"/>
        </w:rPr>
      </w:pPr>
      <w:r>
        <w:rPr>
          <w:rFonts w:hint="eastAsia" w:ascii="仿宋" w:hAnsi="仿宋" w:eastAsia="仿宋"/>
          <w:sz w:val="24"/>
        </w:rPr>
        <w:t>开户行：中国建设银行广州石榴岗支行   开户行：</w:t>
      </w:r>
    </w:p>
    <w:p w14:paraId="6C427214">
      <w:pPr>
        <w:spacing w:line="360" w:lineRule="auto"/>
        <w:rPr>
          <w:rFonts w:hint="eastAsia" w:ascii="仿宋" w:hAnsi="仿宋" w:eastAsia="仿宋"/>
          <w:sz w:val="24"/>
        </w:rPr>
      </w:pPr>
      <w:r>
        <w:rPr>
          <w:rFonts w:hint="eastAsia" w:ascii="仿宋" w:hAnsi="仿宋" w:eastAsia="仿宋"/>
          <w:sz w:val="24"/>
        </w:rPr>
        <w:t xml:space="preserve">账  号: 44050110432109888888         账  号: </w:t>
      </w:r>
    </w:p>
    <w:p w14:paraId="4C1F5CCE">
      <w:pPr>
        <w:widowControl/>
        <w:jc w:val="left"/>
        <w:rPr>
          <w:rFonts w:hint="eastAsia" w:ascii="仿宋" w:hAnsi="仿宋" w:eastAsia="仿宋"/>
          <w:b/>
          <w:sz w:val="24"/>
        </w:rPr>
      </w:pPr>
      <w:r>
        <w:rPr>
          <w:rFonts w:ascii="仿宋" w:hAnsi="仿宋" w:eastAsia="仿宋"/>
          <w:b/>
          <w:sz w:val="24"/>
        </w:rPr>
        <w:br w:type="page"/>
      </w:r>
      <w:r>
        <w:rPr>
          <w:rFonts w:hint="eastAsia" w:ascii="仿宋" w:hAnsi="仿宋" w:eastAsia="仿宋"/>
          <w:b/>
          <w:sz w:val="24"/>
        </w:rPr>
        <w:t>附件一</w:t>
      </w:r>
    </w:p>
    <w:p w14:paraId="6A382845">
      <w:pPr>
        <w:tabs>
          <w:tab w:val="left" w:pos="7049"/>
        </w:tabs>
        <w:spacing w:line="360" w:lineRule="auto"/>
        <w:jc w:val="center"/>
        <w:rPr>
          <w:rFonts w:hint="eastAsia" w:ascii="黑体" w:hAnsi="黑体" w:eastAsia="黑体"/>
          <w:b/>
          <w:sz w:val="30"/>
          <w:szCs w:val="30"/>
        </w:rPr>
      </w:pPr>
      <w:r>
        <w:rPr>
          <w:rFonts w:hint="eastAsia" w:ascii="黑体" w:hAnsi="黑体" w:eastAsia="黑体"/>
          <w:b/>
          <w:sz w:val="32"/>
          <w:szCs w:val="32"/>
        </w:rPr>
        <w:t>用户需求书</w:t>
      </w:r>
      <w:bookmarkStart w:id="132" w:name="OLE_LINK1"/>
      <w:bookmarkEnd w:id="132"/>
      <w:bookmarkStart w:id="133" w:name="OLE_LINK2"/>
      <w:bookmarkEnd w:id="133"/>
      <w:r>
        <w:rPr>
          <w:rFonts w:hint="eastAsia" w:ascii="黑体" w:hAnsi="黑体" w:eastAsia="黑体"/>
          <w:b/>
          <w:sz w:val="32"/>
          <w:szCs w:val="32"/>
        </w:rPr>
        <w:t>(技术参数偏离表)</w:t>
      </w:r>
    </w:p>
    <w:p w14:paraId="076DCC51">
      <w:pPr>
        <w:spacing w:line="360" w:lineRule="auto"/>
        <w:rPr>
          <w:rFonts w:hint="eastAsia" w:ascii="仿宋" w:hAnsi="仿宋" w:eastAsia="仿宋"/>
          <w:sz w:val="24"/>
        </w:rPr>
      </w:pPr>
      <w:r>
        <w:rPr>
          <w:rFonts w:hint="eastAsia" w:ascii="仿宋" w:hAnsi="仿宋" w:eastAsia="仿宋"/>
          <w:sz w:val="24"/>
        </w:rPr>
        <w:t>（一）采购清单</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2762"/>
        <w:gridCol w:w="1665"/>
        <w:gridCol w:w="1869"/>
        <w:gridCol w:w="1869"/>
      </w:tblGrid>
      <w:tr w14:paraId="024C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pct"/>
          </w:tcPr>
          <w:p w14:paraId="1A43EC76">
            <w:pPr>
              <w:spacing w:line="360" w:lineRule="auto"/>
              <w:jc w:val="center"/>
              <w:rPr>
                <w:rFonts w:hint="eastAsia" w:ascii="仿宋" w:hAnsi="仿宋" w:eastAsia="仿宋"/>
                <w:sz w:val="24"/>
              </w:rPr>
            </w:pPr>
            <w:r>
              <w:rPr>
                <w:rFonts w:hint="eastAsia" w:ascii="仿宋" w:hAnsi="仿宋" w:eastAsia="仿宋"/>
                <w:sz w:val="24"/>
              </w:rPr>
              <w:t>序号</w:t>
            </w:r>
          </w:p>
        </w:tc>
        <w:tc>
          <w:tcPr>
            <w:tcW w:w="1478" w:type="pct"/>
          </w:tcPr>
          <w:p w14:paraId="3AD324B6">
            <w:pPr>
              <w:spacing w:line="360" w:lineRule="auto"/>
              <w:jc w:val="center"/>
              <w:rPr>
                <w:rFonts w:hint="eastAsia" w:ascii="仿宋" w:hAnsi="仿宋" w:eastAsia="仿宋"/>
                <w:sz w:val="24"/>
              </w:rPr>
            </w:pPr>
            <w:r>
              <w:rPr>
                <w:rFonts w:hint="eastAsia" w:ascii="仿宋" w:hAnsi="仿宋" w:eastAsia="仿宋"/>
                <w:sz w:val="24"/>
              </w:rPr>
              <w:t>货物名称</w:t>
            </w:r>
          </w:p>
        </w:tc>
        <w:tc>
          <w:tcPr>
            <w:tcW w:w="891" w:type="pct"/>
          </w:tcPr>
          <w:p w14:paraId="51343CA6">
            <w:pPr>
              <w:spacing w:line="360" w:lineRule="auto"/>
              <w:jc w:val="center"/>
              <w:rPr>
                <w:rFonts w:hint="eastAsia" w:ascii="仿宋" w:hAnsi="仿宋" w:eastAsia="仿宋"/>
                <w:sz w:val="24"/>
              </w:rPr>
            </w:pPr>
            <w:r>
              <w:rPr>
                <w:rFonts w:hint="eastAsia" w:ascii="仿宋" w:hAnsi="仿宋" w:eastAsia="仿宋"/>
                <w:sz w:val="24"/>
              </w:rPr>
              <w:t>单位</w:t>
            </w:r>
          </w:p>
        </w:tc>
        <w:tc>
          <w:tcPr>
            <w:tcW w:w="1000" w:type="pct"/>
          </w:tcPr>
          <w:p w14:paraId="5C0780AC">
            <w:pPr>
              <w:spacing w:line="360" w:lineRule="auto"/>
              <w:jc w:val="center"/>
              <w:rPr>
                <w:rFonts w:hint="eastAsia" w:ascii="仿宋" w:hAnsi="仿宋" w:eastAsia="仿宋"/>
                <w:sz w:val="24"/>
              </w:rPr>
            </w:pPr>
            <w:r>
              <w:rPr>
                <w:rFonts w:hint="eastAsia" w:ascii="仿宋" w:hAnsi="仿宋" w:eastAsia="仿宋"/>
                <w:sz w:val="24"/>
              </w:rPr>
              <w:t>数量</w:t>
            </w:r>
          </w:p>
        </w:tc>
        <w:tc>
          <w:tcPr>
            <w:tcW w:w="1000" w:type="pct"/>
          </w:tcPr>
          <w:p w14:paraId="26E0348E">
            <w:pPr>
              <w:spacing w:line="360" w:lineRule="auto"/>
              <w:jc w:val="center"/>
              <w:rPr>
                <w:rFonts w:hint="eastAsia" w:ascii="仿宋" w:hAnsi="仿宋" w:eastAsia="仿宋"/>
                <w:sz w:val="24"/>
              </w:rPr>
            </w:pPr>
            <w:r>
              <w:rPr>
                <w:rFonts w:hint="eastAsia" w:ascii="仿宋" w:hAnsi="仿宋" w:eastAsia="仿宋"/>
                <w:sz w:val="24"/>
              </w:rPr>
              <w:t>备注</w:t>
            </w:r>
          </w:p>
        </w:tc>
      </w:tr>
      <w:tr w14:paraId="47D9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pct"/>
            <w:vAlign w:val="center"/>
          </w:tcPr>
          <w:p w14:paraId="5EDBE385">
            <w:pPr>
              <w:spacing w:before="58" w:beforeLines="20" w:after="58" w:afterLines="20" w:line="360" w:lineRule="auto"/>
              <w:jc w:val="center"/>
              <w:rPr>
                <w:rFonts w:hint="eastAsia" w:ascii="仿宋" w:hAnsi="仿宋" w:eastAsia="仿宋"/>
                <w:sz w:val="24"/>
              </w:rPr>
            </w:pPr>
          </w:p>
        </w:tc>
        <w:tc>
          <w:tcPr>
            <w:tcW w:w="1478" w:type="pct"/>
            <w:vAlign w:val="center"/>
          </w:tcPr>
          <w:p w14:paraId="34B44BF9">
            <w:pPr>
              <w:spacing w:before="58" w:beforeLines="20" w:after="58" w:afterLines="20" w:line="360" w:lineRule="auto"/>
              <w:rPr>
                <w:rFonts w:hint="eastAsia" w:ascii="仿宋" w:hAnsi="仿宋" w:eastAsia="仿宋" w:cs="宋体"/>
                <w:bCs/>
                <w:vanish/>
                <w:sz w:val="24"/>
              </w:rPr>
            </w:pPr>
          </w:p>
        </w:tc>
        <w:tc>
          <w:tcPr>
            <w:tcW w:w="891" w:type="pct"/>
            <w:vAlign w:val="center"/>
          </w:tcPr>
          <w:p w14:paraId="03D35418">
            <w:pPr>
              <w:spacing w:before="58" w:beforeLines="20" w:after="58" w:afterLines="20" w:line="360" w:lineRule="auto"/>
              <w:jc w:val="center"/>
              <w:rPr>
                <w:rFonts w:hint="eastAsia" w:ascii="仿宋" w:hAnsi="仿宋" w:eastAsia="仿宋"/>
                <w:sz w:val="24"/>
              </w:rPr>
            </w:pPr>
          </w:p>
        </w:tc>
        <w:tc>
          <w:tcPr>
            <w:tcW w:w="1000" w:type="pct"/>
            <w:vAlign w:val="center"/>
          </w:tcPr>
          <w:p w14:paraId="5D4DDEE1">
            <w:pPr>
              <w:spacing w:before="58" w:beforeLines="20" w:after="58" w:afterLines="20" w:line="360" w:lineRule="auto"/>
              <w:jc w:val="center"/>
              <w:rPr>
                <w:rFonts w:hint="eastAsia" w:ascii="仿宋" w:hAnsi="仿宋" w:eastAsia="仿宋"/>
                <w:sz w:val="24"/>
              </w:rPr>
            </w:pPr>
          </w:p>
        </w:tc>
        <w:tc>
          <w:tcPr>
            <w:tcW w:w="1000" w:type="pct"/>
          </w:tcPr>
          <w:p w14:paraId="0F6C467E">
            <w:pPr>
              <w:spacing w:line="360" w:lineRule="auto"/>
              <w:jc w:val="center"/>
              <w:rPr>
                <w:rFonts w:hint="eastAsia" w:ascii="仿宋" w:hAnsi="仿宋" w:eastAsia="仿宋"/>
                <w:sz w:val="24"/>
              </w:rPr>
            </w:pPr>
          </w:p>
        </w:tc>
      </w:tr>
    </w:tbl>
    <w:p w14:paraId="6AFCC451">
      <w:pPr>
        <w:spacing w:line="360" w:lineRule="auto"/>
        <w:rPr>
          <w:rFonts w:hint="eastAsia" w:ascii="仿宋" w:hAnsi="仿宋" w:eastAsia="仿宋"/>
          <w:sz w:val="24"/>
        </w:rPr>
      </w:pPr>
    </w:p>
    <w:p w14:paraId="7E0449D6">
      <w:pPr>
        <w:spacing w:line="360" w:lineRule="auto"/>
        <w:rPr>
          <w:rFonts w:hint="eastAsia" w:ascii="仿宋" w:hAnsi="仿宋" w:eastAsia="仿宋"/>
          <w:sz w:val="24"/>
        </w:rPr>
      </w:pPr>
      <w:r>
        <w:rPr>
          <w:rFonts w:hint="eastAsia" w:ascii="仿宋" w:hAnsi="仿宋" w:eastAsia="仿宋"/>
          <w:sz w:val="24"/>
        </w:rPr>
        <w:t>（二）具体功能需求（包括技术参数及配置）  【附上响应文件中的参数偏离表】</w:t>
      </w:r>
    </w:p>
    <w:p w14:paraId="0591A509">
      <w:pPr>
        <w:widowControl/>
        <w:spacing w:before="150" w:after="150"/>
        <w:ind w:left="573" w:leftChars="300"/>
        <w:jc w:val="left"/>
        <w:rPr>
          <w:rFonts w:hint="eastAsia" w:ascii="仿宋" w:hAnsi="仿宋" w:eastAsia="仿宋" w:cs="宋体"/>
          <w:bCs/>
          <w:sz w:val="24"/>
        </w:rPr>
      </w:pPr>
      <w:r>
        <w:rPr>
          <w:rFonts w:hint="eastAsia" w:ascii="仿宋" w:hAnsi="仿宋" w:eastAsia="仿宋" w:cs="宋体"/>
          <w:bCs/>
          <w:sz w:val="24"/>
        </w:rPr>
        <w:t>1、参数要求</w:t>
      </w:r>
    </w:p>
    <w:p w14:paraId="3F74FB59">
      <w:pPr>
        <w:widowControl/>
        <w:spacing w:before="150" w:after="150"/>
        <w:ind w:left="573" w:leftChars="300"/>
        <w:jc w:val="left"/>
        <w:rPr>
          <w:rFonts w:hint="eastAsia" w:ascii="仿宋" w:hAnsi="仿宋" w:eastAsia="仿宋" w:cs="宋体"/>
          <w:bCs/>
          <w:sz w:val="24"/>
        </w:rPr>
      </w:pPr>
    </w:p>
    <w:p w14:paraId="05DB5E33">
      <w:pPr>
        <w:widowControl/>
        <w:spacing w:before="150" w:after="240"/>
        <w:ind w:left="573" w:leftChars="300"/>
        <w:jc w:val="left"/>
        <w:rPr>
          <w:rFonts w:hint="eastAsia" w:ascii="仿宋" w:hAnsi="仿宋" w:eastAsia="仿宋"/>
          <w:bCs/>
          <w:sz w:val="24"/>
        </w:rPr>
      </w:pPr>
      <w:r>
        <w:rPr>
          <w:rFonts w:hint="eastAsia" w:ascii="仿宋" w:hAnsi="仿宋" w:eastAsia="仿宋" w:cs="宋体"/>
          <w:sz w:val="24"/>
        </w:rPr>
        <w:t>2、</w:t>
      </w:r>
      <w:r>
        <w:rPr>
          <w:rFonts w:hint="eastAsia" w:ascii="仿宋" w:hAnsi="仿宋" w:eastAsia="仿宋"/>
          <w:bCs/>
          <w:sz w:val="24"/>
        </w:rPr>
        <w:t>配置清单</w:t>
      </w:r>
    </w:p>
    <w:p w14:paraId="4BB98E56">
      <w:pPr>
        <w:pStyle w:val="16"/>
        <w:ind w:left="573" w:leftChars="300"/>
        <w:rPr>
          <w:rFonts w:hint="eastAsia" w:ascii="仿宋" w:hAnsi="仿宋" w:eastAsia="仿宋" w:cs="宋体"/>
          <w:sz w:val="24"/>
          <w:szCs w:val="24"/>
        </w:rPr>
      </w:pPr>
    </w:p>
    <w:p w14:paraId="289661D8">
      <w:pPr>
        <w:pStyle w:val="16"/>
        <w:numPr>
          <w:ilvl w:val="0"/>
          <w:numId w:val="18"/>
        </w:numPr>
        <w:ind w:left="573" w:leftChars="300"/>
        <w:rPr>
          <w:rFonts w:hint="eastAsia" w:ascii="仿宋" w:hAnsi="仿宋" w:eastAsia="仿宋"/>
          <w:bCs/>
          <w:sz w:val="24"/>
          <w:szCs w:val="24"/>
        </w:rPr>
      </w:pPr>
      <w:r>
        <w:rPr>
          <w:rFonts w:ascii="仿宋" w:hAnsi="仿宋" w:eastAsia="仿宋"/>
          <w:bCs/>
          <w:sz w:val="24"/>
          <w:szCs w:val="24"/>
        </w:rPr>
        <w:t>用户培训</w:t>
      </w:r>
      <w:r>
        <w:rPr>
          <w:rFonts w:hint="eastAsia" w:ascii="仿宋" w:hAnsi="仿宋" w:eastAsia="仿宋"/>
          <w:bCs/>
          <w:sz w:val="24"/>
          <w:szCs w:val="24"/>
        </w:rPr>
        <w:t>【可用公司/厂家盖章图片加入】</w:t>
      </w:r>
    </w:p>
    <w:p w14:paraId="2C3464D3">
      <w:pPr>
        <w:pStyle w:val="16"/>
        <w:rPr>
          <w:rFonts w:hint="eastAsia" w:ascii="仿宋" w:hAnsi="仿宋" w:eastAsia="仿宋"/>
          <w:bCs/>
          <w:sz w:val="24"/>
          <w:szCs w:val="24"/>
        </w:rPr>
      </w:pPr>
    </w:p>
    <w:p w14:paraId="710CC5D2">
      <w:pPr>
        <w:pStyle w:val="16"/>
        <w:ind w:left="573" w:leftChars="300"/>
        <w:rPr>
          <w:rFonts w:hint="eastAsia" w:ascii="仿宋" w:hAnsi="仿宋" w:eastAsia="仿宋"/>
          <w:b/>
          <w:sz w:val="24"/>
          <w:szCs w:val="24"/>
        </w:rPr>
      </w:pPr>
      <w:r>
        <w:rPr>
          <w:rFonts w:hint="eastAsia" w:ascii="仿宋" w:hAnsi="仿宋" w:eastAsia="仿宋"/>
          <w:sz w:val="24"/>
          <w:szCs w:val="24"/>
        </w:rPr>
        <w:t>4、</w:t>
      </w:r>
      <w:r>
        <w:rPr>
          <w:rFonts w:ascii="仿宋" w:hAnsi="仿宋" w:eastAsia="仿宋"/>
          <w:sz w:val="24"/>
          <w:szCs w:val="24"/>
        </w:rPr>
        <w:t>售后服务</w:t>
      </w:r>
      <w:r>
        <w:rPr>
          <w:rFonts w:hint="eastAsia" w:ascii="仿宋" w:hAnsi="仿宋" w:eastAsia="仿宋"/>
          <w:bCs/>
          <w:sz w:val="24"/>
          <w:szCs w:val="24"/>
        </w:rPr>
        <w:t>【可用公司/厂家盖章图片加入，</w:t>
      </w:r>
      <w:r>
        <w:rPr>
          <w:rFonts w:hint="eastAsia" w:ascii="仿宋" w:hAnsi="仿宋" w:eastAsia="仿宋"/>
          <w:bCs/>
          <w:sz w:val="24"/>
          <w:szCs w:val="24"/>
          <w:u w:val="single"/>
        </w:rPr>
        <w:t>要求提供原厂保修承诺书</w:t>
      </w:r>
      <w:r>
        <w:rPr>
          <w:rFonts w:hint="eastAsia" w:ascii="仿宋" w:hAnsi="仿宋" w:eastAsia="仿宋"/>
          <w:bCs/>
          <w:sz w:val="24"/>
          <w:szCs w:val="24"/>
        </w:rPr>
        <w:t>】</w:t>
      </w:r>
    </w:p>
    <w:p w14:paraId="120DFAF5">
      <w:pPr>
        <w:rPr>
          <w:rFonts w:hint="eastAsia" w:ascii="仿宋" w:hAnsi="仿宋" w:eastAsia="仿宋" w:cs="宋体"/>
          <w:szCs w:val="21"/>
        </w:rPr>
      </w:pPr>
    </w:p>
    <w:p w14:paraId="3D61519C">
      <w:pPr>
        <w:spacing w:line="360" w:lineRule="auto"/>
        <w:rPr>
          <w:rFonts w:hint="eastAsia" w:ascii="仿宋" w:hAnsi="仿宋" w:eastAsia="仿宋"/>
          <w:sz w:val="24"/>
        </w:rPr>
      </w:pPr>
    </w:p>
    <w:p w14:paraId="5984A7E2">
      <w:pPr>
        <w:spacing w:line="360" w:lineRule="auto"/>
        <w:rPr>
          <w:rFonts w:hint="eastAsia" w:ascii="仿宋" w:hAnsi="仿宋" w:eastAsia="仿宋"/>
          <w:sz w:val="24"/>
        </w:rPr>
      </w:pPr>
    </w:p>
    <w:p w14:paraId="51297D9D">
      <w:pPr>
        <w:widowControl/>
        <w:jc w:val="left"/>
        <w:rPr>
          <w:rFonts w:hint="eastAsia" w:ascii="黑体" w:hAnsi="黑体" w:eastAsia="黑体"/>
          <w:b/>
          <w:sz w:val="32"/>
          <w:szCs w:val="32"/>
        </w:rPr>
      </w:pPr>
      <w:r>
        <w:rPr>
          <w:rFonts w:ascii="仿宋" w:hAnsi="仿宋" w:eastAsia="仿宋"/>
          <w:sz w:val="32"/>
          <w:szCs w:val="32"/>
        </w:rPr>
        <w:br w:type="page"/>
      </w:r>
      <w:r>
        <w:rPr>
          <w:rFonts w:hint="eastAsia" w:ascii="黑体" w:hAnsi="黑体" w:eastAsia="黑体"/>
          <w:b/>
          <w:sz w:val="32"/>
          <w:szCs w:val="32"/>
        </w:rPr>
        <w:t>附件二</w:t>
      </w:r>
    </w:p>
    <w:p w14:paraId="3FC4DB2F">
      <w:pPr>
        <w:tabs>
          <w:tab w:val="left" w:pos="7049"/>
        </w:tabs>
        <w:spacing w:line="360" w:lineRule="auto"/>
        <w:jc w:val="center"/>
        <w:rPr>
          <w:rFonts w:hint="eastAsia" w:ascii="黑体" w:hAnsi="黑体" w:eastAsia="黑体"/>
          <w:b/>
          <w:sz w:val="32"/>
          <w:szCs w:val="32"/>
        </w:rPr>
      </w:pPr>
      <w:r>
        <w:rPr>
          <w:rFonts w:hint="eastAsia" w:ascii="黑体" w:hAnsi="黑体" w:eastAsia="黑体"/>
          <w:b/>
          <w:sz w:val="32"/>
          <w:szCs w:val="32"/>
        </w:rPr>
        <w:t>配 置 清 单</w:t>
      </w:r>
    </w:p>
    <w:p w14:paraId="7E196A2B">
      <w:pPr>
        <w:tabs>
          <w:tab w:val="left" w:pos="7049"/>
        </w:tabs>
        <w:spacing w:line="360" w:lineRule="auto"/>
        <w:jc w:val="center"/>
        <w:rPr>
          <w:rFonts w:hint="eastAsia" w:ascii="黑体" w:hAnsi="黑体" w:eastAsia="黑体"/>
          <w:bCs/>
          <w:sz w:val="32"/>
          <w:szCs w:val="32"/>
        </w:rPr>
      </w:pPr>
      <w:r>
        <w:rPr>
          <w:rFonts w:hint="eastAsia" w:ascii="黑体" w:hAnsi="黑体" w:eastAsia="黑体"/>
          <w:bCs/>
          <w:sz w:val="32"/>
          <w:szCs w:val="32"/>
        </w:rPr>
        <w:t>【用EXCEL表列出】</w:t>
      </w:r>
    </w:p>
    <w:p w14:paraId="300AFA7E">
      <w:pPr>
        <w:spacing w:line="360" w:lineRule="auto"/>
        <w:rPr>
          <w:rFonts w:hint="eastAsia" w:ascii="仿宋" w:hAnsi="仿宋" w:eastAsia="仿宋"/>
          <w:b/>
          <w:sz w:val="28"/>
          <w:szCs w:val="28"/>
        </w:rPr>
      </w:pPr>
    </w:p>
    <w:p w14:paraId="30388BD1">
      <w:pPr>
        <w:spacing w:line="360" w:lineRule="auto"/>
        <w:rPr>
          <w:rFonts w:hint="eastAsia" w:ascii="仿宋" w:hAnsi="仿宋" w:eastAsia="仿宋"/>
          <w:b/>
          <w:sz w:val="28"/>
          <w:szCs w:val="28"/>
        </w:rPr>
      </w:pPr>
    </w:p>
    <w:p w14:paraId="045894D1">
      <w:pPr>
        <w:spacing w:line="360" w:lineRule="auto"/>
        <w:rPr>
          <w:rFonts w:hint="eastAsia" w:ascii="仿宋" w:hAnsi="仿宋" w:eastAsia="仿宋"/>
          <w:b/>
          <w:sz w:val="28"/>
          <w:szCs w:val="28"/>
        </w:rPr>
      </w:pPr>
    </w:p>
    <w:p w14:paraId="5551B8C4">
      <w:pPr>
        <w:spacing w:line="360" w:lineRule="auto"/>
        <w:rPr>
          <w:rFonts w:hint="eastAsia" w:ascii="仿宋" w:hAnsi="仿宋" w:eastAsia="仿宋"/>
          <w:b/>
          <w:sz w:val="28"/>
          <w:szCs w:val="28"/>
        </w:rPr>
      </w:pPr>
    </w:p>
    <w:p w14:paraId="3B2A22CD">
      <w:pPr>
        <w:spacing w:line="360" w:lineRule="auto"/>
        <w:rPr>
          <w:rFonts w:hint="eastAsia" w:ascii="仿宋" w:hAnsi="仿宋" w:eastAsia="仿宋"/>
          <w:b/>
          <w:sz w:val="28"/>
          <w:szCs w:val="28"/>
        </w:rPr>
      </w:pPr>
    </w:p>
    <w:p w14:paraId="5A85E604">
      <w:pPr>
        <w:spacing w:line="360" w:lineRule="auto"/>
        <w:rPr>
          <w:rFonts w:hint="eastAsia" w:ascii="仿宋" w:hAnsi="仿宋" w:eastAsia="仿宋"/>
          <w:b/>
          <w:sz w:val="28"/>
          <w:szCs w:val="28"/>
        </w:rPr>
      </w:pPr>
    </w:p>
    <w:p w14:paraId="5DD61599">
      <w:pPr>
        <w:spacing w:line="360" w:lineRule="auto"/>
        <w:rPr>
          <w:rFonts w:hint="eastAsia" w:ascii="仿宋" w:hAnsi="仿宋" w:eastAsia="仿宋"/>
          <w:b/>
          <w:sz w:val="28"/>
          <w:szCs w:val="28"/>
        </w:rPr>
      </w:pPr>
    </w:p>
    <w:p w14:paraId="790768DE">
      <w:pPr>
        <w:spacing w:line="360" w:lineRule="auto"/>
        <w:rPr>
          <w:rFonts w:hint="eastAsia" w:ascii="仿宋" w:hAnsi="仿宋" w:eastAsia="仿宋"/>
          <w:b/>
          <w:sz w:val="28"/>
          <w:szCs w:val="28"/>
        </w:rPr>
      </w:pPr>
    </w:p>
    <w:p w14:paraId="2C4F0822">
      <w:pPr>
        <w:spacing w:line="360" w:lineRule="auto"/>
        <w:rPr>
          <w:rFonts w:hint="eastAsia" w:ascii="仿宋" w:hAnsi="仿宋" w:eastAsia="仿宋"/>
          <w:b/>
          <w:sz w:val="28"/>
          <w:szCs w:val="28"/>
        </w:rPr>
      </w:pPr>
      <w:r>
        <w:rPr>
          <w:rFonts w:hint="eastAsia" w:ascii="仿宋" w:hAnsi="仿宋" w:eastAsia="仿宋"/>
          <w:b/>
          <w:sz w:val="28"/>
          <w:szCs w:val="28"/>
        </w:rPr>
        <w:t>附件</w:t>
      </w:r>
      <w:r>
        <w:rPr>
          <w:rFonts w:ascii="仿宋" w:hAnsi="仿宋" w:eastAsia="仿宋"/>
          <w:b/>
          <w:sz w:val="28"/>
          <w:szCs w:val="28"/>
        </w:rPr>
        <w:t>三</w:t>
      </w:r>
      <w:r>
        <w:rPr>
          <w:rFonts w:hint="eastAsia" w:ascii="仿宋" w:hAnsi="仿宋" w:eastAsia="仿宋"/>
          <w:b/>
          <w:sz w:val="28"/>
          <w:szCs w:val="28"/>
        </w:rPr>
        <w:t xml:space="preserve">  </w:t>
      </w:r>
    </w:p>
    <w:p w14:paraId="6EF7C103">
      <w:pPr>
        <w:tabs>
          <w:tab w:val="left" w:pos="7049"/>
        </w:tabs>
        <w:jc w:val="center"/>
        <w:rPr>
          <w:rFonts w:eastAsia="黑体"/>
          <w:b/>
          <w:sz w:val="36"/>
          <w:szCs w:val="36"/>
        </w:rPr>
      </w:pPr>
      <w:r>
        <w:rPr>
          <w:rFonts w:hint="eastAsia" w:eastAsia="黑体"/>
          <w:b/>
          <w:sz w:val="36"/>
          <w:szCs w:val="36"/>
        </w:rPr>
        <w:t>易损件/专机专用耗材报价表</w:t>
      </w:r>
    </w:p>
    <w:tbl>
      <w:tblPr>
        <w:tblStyle w:val="32"/>
        <w:tblW w:w="5000" w:type="pct"/>
        <w:jc w:val="center"/>
        <w:tblLayout w:type="autofit"/>
        <w:tblCellMar>
          <w:top w:w="0" w:type="dxa"/>
          <w:left w:w="108" w:type="dxa"/>
          <w:bottom w:w="0" w:type="dxa"/>
          <w:right w:w="108" w:type="dxa"/>
        </w:tblCellMar>
      </w:tblPr>
      <w:tblGrid>
        <w:gridCol w:w="712"/>
        <w:gridCol w:w="1114"/>
        <w:gridCol w:w="1610"/>
        <w:gridCol w:w="990"/>
        <w:gridCol w:w="990"/>
        <w:gridCol w:w="2104"/>
        <w:gridCol w:w="1834"/>
      </w:tblGrid>
      <w:tr w14:paraId="2ED7386C">
        <w:tblPrEx>
          <w:tblCellMar>
            <w:top w:w="0" w:type="dxa"/>
            <w:left w:w="108" w:type="dxa"/>
            <w:bottom w:w="0" w:type="dxa"/>
            <w:right w:w="108" w:type="dxa"/>
          </w:tblCellMar>
        </w:tblPrEx>
        <w:trPr>
          <w:trHeight w:val="675" w:hRule="atLeast"/>
          <w:jc w:val="center"/>
        </w:trPr>
        <w:tc>
          <w:tcPr>
            <w:tcW w:w="381" w:type="pct"/>
            <w:tcBorders>
              <w:top w:val="single" w:color="auto" w:sz="4" w:space="0"/>
              <w:left w:val="single" w:color="auto" w:sz="4" w:space="0"/>
              <w:bottom w:val="single" w:color="auto" w:sz="4" w:space="0"/>
              <w:right w:val="single" w:color="auto" w:sz="4" w:space="0"/>
            </w:tcBorders>
            <w:vAlign w:val="center"/>
          </w:tcPr>
          <w:p w14:paraId="31B486ED">
            <w:pPr>
              <w:widowControl/>
              <w:jc w:val="center"/>
              <w:rPr>
                <w:rFonts w:hint="eastAsia" w:ascii="仿宋" w:hAnsi="仿宋" w:eastAsia="仿宋" w:cs="宋体"/>
                <w:b/>
                <w:kern w:val="0"/>
                <w:sz w:val="24"/>
              </w:rPr>
            </w:pPr>
            <w:r>
              <w:rPr>
                <w:rFonts w:hint="eastAsia" w:ascii="仿宋" w:hAnsi="仿宋" w:eastAsia="仿宋" w:cs="宋体"/>
                <w:b/>
                <w:kern w:val="0"/>
                <w:sz w:val="24"/>
              </w:rPr>
              <w:t>序号</w:t>
            </w:r>
          </w:p>
        </w:tc>
        <w:tc>
          <w:tcPr>
            <w:tcW w:w="595" w:type="pct"/>
            <w:tcBorders>
              <w:top w:val="single" w:color="auto" w:sz="4" w:space="0"/>
              <w:left w:val="nil"/>
              <w:bottom w:val="single" w:color="auto" w:sz="4" w:space="0"/>
              <w:right w:val="single" w:color="auto" w:sz="4" w:space="0"/>
            </w:tcBorders>
            <w:vAlign w:val="center"/>
          </w:tcPr>
          <w:p w14:paraId="75A90F3B">
            <w:pPr>
              <w:widowControl/>
              <w:jc w:val="center"/>
              <w:rPr>
                <w:rFonts w:hint="eastAsia" w:ascii="仿宋" w:hAnsi="仿宋" w:eastAsia="仿宋" w:cs="宋体"/>
                <w:b/>
                <w:kern w:val="0"/>
                <w:sz w:val="24"/>
              </w:rPr>
            </w:pPr>
            <w:r>
              <w:rPr>
                <w:rFonts w:hint="eastAsia" w:ascii="仿宋" w:hAnsi="仿宋" w:eastAsia="仿宋" w:cs="宋体"/>
                <w:b/>
                <w:kern w:val="0"/>
                <w:sz w:val="24"/>
              </w:rPr>
              <w:t>产品名称</w:t>
            </w:r>
          </w:p>
        </w:tc>
        <w:tc>
          <w:tcPr>
            <w:tcW w:w="860" w:type="pct"/>
            <w:tcBorders>
              <w:top w:val="single" w:color="auto" w:sz="4" w:space="0"/>
              <w:left w:val="nil"/>
              <w:bottom w:val="single" w:color="auto" w:sz="4" w:space="0"/>
              <w:right w:val="single" w:color="auto" w:sz="4" w:space="0"/>
            </w:tcBorders>
            <w:vAlign w:val="center"/>
          </w:tcPr>
          <w:p w14:paraId="71BA422B">
            <w:pPr>
              <w:widowControl/>
              <w:jc w:val="center"/>
              <w:rPr>
                <w:rFonts w:hint="eastAsia" w:ascii="仿宋" w:hAnsi="仿宋" w:eastAsia="仿宋" w:cs="宋体"/>
                <w:b/>
                <w:kern w:val="0"/>
                <w:sz w:val="24"/>
              </w:rPr>
            </w:pPr>
            <w:r>
              <w:rPr>
                <w:rFonts w:hint="eastAsia" w:ascii="仿宋" w:hAnsi="仿宋" w:eastAsia="仿宋" w:cs="宋体"/>
                <w:b/>
                <w:kern w:val="0"/>
                <w:sz w:val="24"/>
              </w:rPr>
              <w:t>品牌</w:t>
            </w:r>
          </w:p>
        </w:tc>
        <w:tc>
          <w:tcPr>
            <w:tcW w:w="529" w:type="pct"/>
            <w:tcBorders>
              <w:top w:val="single" w:color="auto" w:sz="4" w:space="0"/>
              <w:left w:val="nil"/>
              <w:bottom w:val="single" w:color="auto" w:sz="4" w:space="0"/>
              <w:right w:val="single" w:color="auto" w:sz="4" w:space="0"/>
            </w:tcBorders>
            <w:vAlign w:val="center"/>
          </w:tcPr>
          <w:p w14:paraId="11894FA7">
            <w:pPr>
              <w:widowControl/>
              <w:jc w:val="center"/>
              <w:rPr>
                <w:rFonts w:hint="eastAsia" w:ascii="仿宋" w:hAnsi="仿宋" w:eastAsia="仿宋" w:cs="宋体"/>
                <w:b/>
                <w:kern w:val="0"/>
                <w:sz w:val="24"/>
              </w:rPr>
            </w:pPr>
            <w:r>
              <w:rPr>
                <w:rFonts w:hint="eastAsia" w:ascii="仿宋" w:hAnsi="仿宋" w:eastAsia="仿宋" w:cs="宋体"/>
                <w:b/>
                <w:kern w:val="0"/>
                <w:sz w:val="24"/>
              </w:rPr>
              <w:t>数量</w:t>
            </w:r>
          </w:p>
        </w:tc>
        <w:tc>
          <w:tcPr>
            <w:tcW w:w="529" w:type="pct"/>
            <w:tcBorders>
              <w:top w:val="single" w:color="auto" w:sz="4" w:space="0"/>
              <w:left w:val="nil"/>
              <w:bottom w:val="single" w:color="auto" w:sz="4" w:space="0"/>
              <w:right w:val="single" w:color="auto" w:sz="4" w:space="0"/>
            </w:tcBorders>
            <w:vAlign w:val="center"/>
          </w:tcPr>
          <w:p w14:paraId="5BC18006">
            <w:pPr>
              <w:widowControl/>
              <w:jc w:val="center"/>
              <w:rPr>
                <w:rFonts w:hint="eastAsia" w:ascii="仿宋" w:hAnsi="仿宋" w:eastAsia="仿宋" w:cs="宋体"/>
                <w:b/>
                <w:kern w:val="0"/>
                <w:sz w:val="24"/>
              </w:rPr>
            </w:pPr>
            <w:r>
              <w:rPr>
                <w:rFonts w:hint="eastAsia" w:ascii="仿宋" w:hAnsi="仿宋" w:eastAsia="仿宋" w:cs="宋体"/>
                <w:b/>
                <w:kern w:val="0"/>
                <w:sz w:val="24"/>
              </w:rPr>
              <w:t>单位</w:t>
            </w:r>
          </w:p>
        </w:tc>
        <w:tc>
          <w:tcPr>
            <w:tcW w:w="1124" w:type="pct"/>
            <w:tcBorders>
              <w:top w:val="single" w:color="auto" w:sz="4" w:space="0"/>
              <w:left w:val="nil"/>
              <w:bottom w:val="single" w:color="auto" w:sz="4" w:space="0"/>
              <w:right w:val="single" w:color="auto" w:sz="4" w:space="0"/>
            </w:tcBorders>
            <w:vAlign w:val="center"/>
          </w:tcPr>
          <w:p w14:paraId="29595586">
            <w:pPr>
              <w:widowControl/>
              <w:jc w:val="center"/>
              <w:rPr>
                <w:rFonts w:hint="eastAsia" w:ascii="仿宋" w:hAnsi="仿宋" w:eastAsia="仿宋" w:cs="宋体"/>
                <w:b/>
                <w:kern w:val="0"/>
                <w:sz w:val="24"/>
              </w:rPr>
            </w:pPr>
            <w:r>
              <w:rPr>
                <w:rFonts w:hint="eastAsia" w:ascii="仿宋" w:hAnsi="仿宋" w:eastAsia="仿宋" w:cs="宋体"/>
                <w:b/>
                <w:kern w:val="0"/>
                <w:sz w:val="24"/>
              </w:rPr>
              <w:t>单价</w:t>
            </w:r>
          </w:p>
        </w:tc>
        <w:tc>
          <w:tcPr>
            <w:tcW w:w="980" w:type="pct"/>
            <w:tcBorders>
              <w:top w:val="single" w:color="auto" w:sz="4" w:space="0"/>
              <w:left w:val="nil"/>
              <w:bottom w:val="single" w:color="auto" w:sz="4" w:space="0"/>
              <w:right w:val="single" w:color="auto" w:sz="4" w:space="0"/>
            </w:tcBorders>
            <w:vAlign w:val="center"/>
          </w:tcPr>
          <w:p w14:paraId="6332CC5F">
            <w:pPr>
              <w:widowControl/>
              <w:jc w:val="center"/>
              <w:rPr>
                <w:rFonts w:hint="eastAsia" w:ascii="仿宋" w:hAnsi="仿宋" w:eastAsia="仿宋" w:cs="宋体"/>
                <w:b/>
                <w:kern w:val="0"/>
                <w:sz w:val="24"/>
              </w:rPr>
            </w:pPr>
            <w:r>
              <w:rPr>
                <w:rFonts w:hint="eastAsia" w:ascii="仿宋" w:hAnsi="仿宋" w:eastAsia="仿宋" w:cs="宋体"/>
                <w:b/>
                <w:kern w:val="0"/>
                <w:sz w:val="24"/>
              </w:rPr>
              <w:t>保修期限</w:t>
            </w:r>
          </w:p>
        </w:tc>
      </w:tr>
      <w:tr w14:paraId="00D27E8B">
        <w:tblPrEx>
          <w:tblCellMar>
            <w:top w:w="0" w:type="dxa"/>
            <w:left w:w="108" w:type="dxa"/>
            <w:bottom w:w="0" w:type="dxa"/>
            <w:right w:w="108" w:type="dxa"/>
          </w:tblCellMar>
        </w:tblPrEx>
        <w:trPr>
          <w:trHeight w:val="477" w:hRule="atLeast"/>
          <w:jc w:val="center"/>
        </w:trPr>
        <w:tc>
          <w:tcPr>
            <w:tcW w:w="381" w:type="pct"/>
            <w:tcBorders>
              <w:top w:val="nil"/>
              <w:left w:val="single" w:color="auto" w:sz="4" w:space="0"/>
              <w:bottom w:val="single" w:color="auto" w:sz="4" w:space="0"/>
              <w:right w:val="single" w:color="auto" w:sz="4" w:space="0"/>
            </w:tcBorders>
            <w:vAlign w:val="center"/>
          </w:tcPr>
          <w:p w14:paraId="119C4DE5">
            <w:pPr>
              <w:widowControl/>
              <w:jc w:val="center"/>
              <w:rPr>
                <w:rFonts w:hint="eastAsia" w:ascii="仿宋" w:hAnsi="仿宋" w:eastAsia="仿宋" w:cs="宋体"/>
                <w:kern w:val="0"/>
                <w:sz w:val="24"/>
              </w:rPr>
            </w:pPr>
          </w:p>
        </w:tc>
        <w:tc>
          <w:tcPr>
            <w:tcW w:w="595" w:type="pct"/>
            <w:tcBorders>
              <w:top w:val="nil"/>
              <w:left w:val="nil"/>
              <w:bottom w:val="single" w:color="auto" w:sz="4" w:space="0"/>
              <w:right w:val="single" w:color="auto" w:sz="4" w:space="0"/>
            </w:tcBorders>
            <w:vAlign w:val="center"/>
          </w:tcPr>
          <w:p w14:paraId="346508AF">
            <w:pPr>
              <w:widowControl/>
              <w:jc w:val="center"/>
              <w:rPr>
                <w:rFonts w:hint="eastAsia" w:ascii="仿宋" w:hAnsi="仿宋" w:eastAsia="仿宋" w:cs="宋体"/>
                <w:kern w:val="0"/>
                <w:sz w:val="24"/>
              </w:rPr>
            </w:pPr>
          </w:p>
        </w:tc>
        <w:tc>
          <w:tcPr>
            <w:tcW w:w="860" w:type="pct"/>
            <w:tcBorders>
              <w:top w:val="nil"/>
              <w:left w:val="nil"/>
              <w:bottom w:val="single" w:color="auto" w:sz="4" w:space="0"/>
              <w:right w:val="single" w:color="auto" w:sz="4" w:space="0"/>
            </w:tcBorders>
            <w:vAlign w:val="center"/>
          </w:tcPr>
          <w:p w14:paraId="230AE7C9">
            <w:pPr>
              <w:widowControl/>
              <w:jc w:val="center"/>
              <w:rPr>
                <w:rFonts w:hint="eastAsia" w:ascii="仿宋" w:hAnsi="仿宋" w:eastAsia="仿宋" w:cs="宋体"/>
                <w:kern w:val="0"/>
                <w:sz w:val="24"/>
              </w:rPr>
            </w:pPr>
          </w:p>
        </w:tc>
        <w:tc>
          <w:tcPr>
            <w:tcW w:w="529" w:type="pct"/>
            <w:tcBorders>
              <w:top w:val="nil"/>
              <w:left w:val="nil"/>
              <w:bottom w:val="single" w:color="auto" w:sz="4" w:space="0"/>
              <w:right w:val="single" w:color="auto" w:sz="4" w:space="0"/>
            </w:tcBorders>
            <w:vAlign w:val="center"/>
          </w:tcPr>
          <w:p w14:paraId="746AC50F">
            <w:pPr>
              <w:widowControl/>
              <w:jc w:val="center"/>
              <w:rPr>
                <w:rFonts w:hint="eastAsia" w:ascii="仿宋" w:hAnsi="仿宋" w:eastAsia="仿宋" w:cs="宋体"/>
                <w:kern w:val="0"/>
                <w:sz w:val="24"/>
              </w:rPr>
            </w:pPr>
          </w:p>
        </w:tc>
        <w:tc>
          <w:tcPr>
            <w:tcW w:w="529" w:type="pct"/>
            <w:tcBorders>
              <w:top w:val="nil"/>
              <w:left w:val="nil"/>
              <w:bottom w:val="single" w:color="auto" w:sz="4" w:space="0"/>
              <w:right w:val="single" w:color="auto" w:sz="4" w:space="0"/>
            </w:tcBorders>
            <w:vAlign w:val="center"/>
          </w:tcPr>
          <w:p w14:paraId="3F16D5BF">
            <w:pPr>
              <w:widowControl/>
              <w:jc w:val="center"/>
              <w:rPr>
                <w:rFonts w:hint="eastAsia" w:ascii="仿宋" w:hAnsi="仿宋" w:eastAsia="仿宋" w:cs="宋体"/>
                <w:kern w:val="0"/>
                <w:sz w:val="24"/>
              </w:rPr>
            </w:pPr>
          </w:p>
        </w:tc>
        <w:tc>
          <w:tcPr>
            <w:tcW w:w="1124" w:type="pct"/>
            <w:tcBorders>
              <w:top w:val="nil"/>
              <w:left w:val="nil"/>
              <w:bottom w:val="single" w:color="auto" w:sz="4" w:space="0"/>
              <w:right w:val="single" w:color="auto" w:sz="4" w:space="0"/>
            </w:tcBorders>
            <w:vAlign w:val="center"/>
          </w:tcPr>
          <w:p w14:paraId="6A12DF9E">
            <w:pPr>
              <w:widowControl/>
              <w:ind w:right="420"/>
              <w:jc w:val="center"/>
              <w:rPr>
                <w:rFonts w:hint="eastAsia" w:ascii="仿宋" w:hAnsi="仿宋" w:eastAsia="仿宋" w:cs="宋体"/>
                <w:kern w:val="0"/>
                <w:sz w:val="24"/>
              </w:rPr>
            </w:pPr>
          </w:p>
        </w:tc>
        <w:tc>
          <w:tcPr>
            <w:tcW w:w="980" w:type="pct"/>
            <w:tcBorders>
              <w:top w:val="nil"/>
              <w:left w:val="nil"/>
              <w:bottom w:val="single" w:color="auto" w:sz="4" w:space="0"/>
              <w:right w:val="single" w:color="auto" w:sz="4" w:space="0"/>
            </w:tcBorders>
          </w:tcPr>
          <w:p w14:paraId="7119AB6E">
            <w:pPr>
              <w:widowControl/>
              <w:ind w:right="420"/>
              <w:jc w:val="center"/>
              <w:rPr>
                <w:rFonts w:hint="eastAsia" w:ascii="仿宋" w:hAnsi="仿宋" w:eastAsia="仿宋" w:cs="宋体"/>
                <w:kern w:val="0"/>
                <w:sz w:val="24"/>
              </w:rPr>
            </w:pPr>
          </w:p>
        </w:tc>
      </w:tr>
      <w:tr w14:paraId="4107C541">
        <w:tblPrEx>
          <w:tblCellMar>
            <w:top w:w="0" w:type="dxa"/>
            <w:left w:w="108" w:type="dxa"/>
            <w:bottom w:w="0" w:type="dxa"/>
            <w:right w:w="108" w:type="dxa"/>
          </w:tblCellMar>
        </w:tblPrEx>
        <w:trPr>
          <w:trHeight w:val="702" w:hRule="atLeast"/>
          <w:jc w:val="center"/>
        </w:trPr>
        <w:tc>
          <w:tcPr>
            <w:tcW w:w="381" w:type="pct"/>
            <w:tcBorders>
              <w:top w:val="nil"/>
              <w:left w:val="single" w:color="auto" w:sz="4" w:space="0"/>
              <w:bottom w:val="single" w:color="auto" w:sz="4" w:space="0"/>
              <w:right w:val="single" w:color="auto" w:sz="4" w:space="0"/>
            </w:tcBorders>
            <w:vAlign w:val="center"/>
          </w:tcPr>
          <w:p w14:paraId="264D5D69">
            <w:pPr>
              <w:widowControl/>
              <w:jc w:val="center"/>
              <w:rPr>
                <w:rFonts w:hint="eastAsia" w:ascii="仿宋" w:hAnsi="仿宋" w:eastAsia="仿宋" w:cs="宋体"/>
                <w:kern w:val="0"/>
                <w:sz w:val="24"/>
              </w:rPr>
            </w:pPr>
          </w:p>
        </w:tc>
        <w:tc>
          <w:tcPr>
            <w:tcW w:w="595" w:type="pct"/>
            <w:tcBorders>
              <w:top w:val="nil"/>
              <w:left w:val="nil"/>
              <w:bottom w:val="single" w:color="auto" w:sz="4" w:space="0"/>
              <w:right w:val="single" w:color="auto" w:sz="4" w:space="0"/>
            </w:tcBorders>
            <w:vAlign w:val="center"/>
          </w:tcPr>
          <w:p w14:paraId="0105407E">
            <w:pPr>
              <w:widowControl/>
              <w:jc w:val="center"/>
              <w:rPr>
                <w:rFonts w:hint="eastAsia" w:ascii="仿宋" w:hAnsi="仿宋" w:eastAsia="仿宋" w:cs="宋体"/>
                <w:kern w:val="0"/>
                <w:sz w:val="24"/>
              </w:rPr>
            </w:pPr>
          </w:p>
        </w:tc>
        <w:tc>
          <w:tcPr>
            <w:tcW w:w="860" w:type="pct"/>
            <w:tcBorders>
              <w:top w:val="nil"/>
              <w:left w:val="nil"/>
              <w:bottom w:val="single" w:color="auto" w:sz="4" w:space="0"/>
              <w:right w:val="single" w:color="auto" w:sz="4" w:space="0"/>
            </w:tcBorders>
            <w:vAlign w:val="center"/>
          </w:tcPr>
          <w:p w14:paraId="4187DB5B">
            <w:pPr>
              <w:widowControl/>
              <w:jc w:val="center"/>
              <w:rPr>
                <w:rFonts w:hint="eastAsia" w:ascii="仿宋" w:hAnsi="仿宋" w:eastAsia="仿宋" w:cs="宋体"/>
                <w:kern w:val="0"/>
                <w:sz w:val="24"/>
              </w:rPr>
            </w:pPr>
          </w:p>
        </w:tc>
        <w:tc>
          <w:tcPr>
            <w:tcW w:w="529" w:type="pct"/>
            <w:tcBorders>
              <w:top w:val="nil"/>
              <w:left w:val="nil"/>
              <w:bottom w:val="single" w:color="auto" w:sz="4" w:space="0"/>
              <w:right w:val="single" w:color="auto" w:sz="4" w:space="0"/>
            </w:tcBorders>
            <w:vAlign w:val="center"/>
          </w:tcPr>
          <w:p w14:paraId="13F70F63">
            <w:pPr>
              <w:widowControl/>
              <w:jc w:val="center"/>
              <w:rPr>
                <w:rFonts w:hint="eastAsia" w:ascii="仿宋" w:hAnsi="仿宋" w:eastAsia="仿宋" w:cs="宋体"/>
                <w:kern w:val="0"/>
                <w:sz w:val="24"/>
              </w:rPr>
            </w:pPr>
          </w:p>
        </w:tc>
        <w:tc>
          <w:tcPr>
            <w:tcW w:w="529" w:type="pct"/>
            <w:tcBorders>
              <w:top w:val="nil"/>
              <w:left w:val="nil"/>
              <w:bottom w:val="single" w:color="auto" w:sz="4" w:space="0"/>
              <w:right w:val="single" w:color="auto" w:sz="4" w:space="0"/>
            </w:tcBorders>
            <w:vAlign w:val="center"/>
          </w:tcPr>
          <w:p w14:paraId="0815FDB8">
            <w:pPr>
              <w:widowControl/>
              <w:jc w:val="center"/>
              <w:rPr>
                <w:rFonts w:hint="eastAsia" w:ascii="仿宋" w:hAnsi="仿宋" w:eastAsia="仿宋" w:cs="宋体"/>
                <w:kern w:val="0"/>
                <w:sz w:val="24"/>
              </w:rPr>
            </w:pPr>
          </w:p>
        </w:tc>
        <w:tc>
          <w:tcPr>
            <w:tcW w:w="1124" w:type="pct"/>
            <w:tcBorders>
              <w:top w:val="nil"/>
              <w:left w:val="nil"/>
              <w:bottom w:val="single" w:color="auto" w:sz="4" w:space="0"/>
              <w:right w:val="single" w:color="auto" w:sz="4" w:space="0"/>
            </w:tcBorders>
            <w:vAlign w:val="center"/>
          </w:tcPr>
          <w:p w14:paraId="4EB32A86">
            <w:pPr>
              <w:widowControl/>
              <w:ind w:right="420"/>
              <w:jc w:val="center"/>
              <w:rPr>
                <w:rFonts w:hint="eastAsia" w:ascii="仿宋" w:hAnsi="仿宋" w:eastAsia="仿宋" w:cs="宋体"/>
                <w:kern w:val="0"/>
                <w:sz w:val="24"/>
              </w:rPr>
            </w:pPr>
          </w:p>
        </w:tc>
        <w:tc>
          <w:tcPr>
            <w:tcW w:w="980" w:type="pct"/>
            <w:tcBorders>
              <w:top w:val="nil"/>
              <w:left w:val="nil"/>
              <w:bottom w:val="single" w:color="auto" w:sz="4" w:space="0"/>
              <w:right w:val="single" w:color="auto" w:sz="4" w:space="0"/>
            </w:tcBorders>
          </w:tcPr>
          <w:p w14:paraId="4A7336BD">
            <w:pPr>
              <w:widowControl/>
              <w:ind w:right="420"/>
              <w:jc w:val="center"/>
              <w:rPr>
                <w:rFonts w:hint="eastAsia" w:ascii="仿宋" w:hAnsi="仿宋" w:eastAsia="仿宋" w:cs="宋体"/>
                <w:kern w:val="0"/>
                <w:sz w:val="24"/>
              </w:rPr>
            </w:pPr>
          </w:p>
        </w:tc>
      </w:tr>
    </w:tbl>
    <w:p w14:paraId="62272B39">
      <w:pPr>
        <w:spacing w:line="360" w:lineRule="auto"/>
        <w:rPr>
          <w:rFonts w:hint="eastAsia" w:ascii="仿宋" w:hAnsi="仿宋" w:eastAsia="仿宋"/>
          <w:b/>
          <w:sz w:val="28"/>
          <w:szCs w:val="28"/>
        </w:rPr>
      </w:pPr>
    </w:p>
    <w:p w14:paraId="13B21708">
      <w:pPr>
        <w:widowControl/>
        <w:jc w:val="center"/>
        <w:rPr>
          <w:rFonts w:hint="eastAsia" w:ascii="黑体" w:hAnsi="黑体" w:eastAsia="黑体"/>
          <w:b/>
          <w:sz w:val="32"/>
          <w:szCs w:val="32"/>
        </w:rPr>
      </w:pPr>
      <w:r>
        <w:rPr>
          <w:rFonts w:hint="eastAsia" w:ascii="黑体" w:hAnsi="黑体" w:eastAsia="黑体"/>
          <w:b/>
          <w:sz w:val="32"/>
          <w:szCs w:val="32"/>
        </w:rPr>
        <w:br w:type="page"/>
      </w:r>
      <w:r>
        <w:rPr>
          <w:rFonts w:hint="eastAsia" w:ascii="黑体" w:hAnsi="黑体" w:eastAsia="黑体"/>
          <w:b/>
          <w:sz w:val="32"/>
          <w:szCs w:val="32"/>
        </w:rPr>
        <w:t>医疗卫生机构医药产品购销廉洁承诺书</w:t>
      </w:r>
    </w:p>
    <w:p w14:paraId="322A41E8">
      <w:pPr>
        <w:spacing w:line="360" w:lineRule="auto"/>
        <w:rPr>
          <w:rFonts w:hint="eastAsia" w:ascii="仿宋" w:hAnsi="仿宋" w:eastAsia="仿宋"/>
          <w:sz w:val="24"/>
        </w:rPr>
      </w:pPr>
      <w:r>
        <w:rPr>
          <w:rFonts w:hint="eastAsia" w:ascii="宋体" w:hAnsi="宋体"/>
          <w:b/>
          <w:sz w:val="24"/>
        </w:rPr>
        <w:t>甲方</w:t>
      </w:r>
      <w:r>
        <w:rPr>
          <w:rFonts w:hint="eastAsia" w:ascii="宋体" w:hAnsi="宋体"/>
          <w:sz w:val="24"/>
        </w:rPr>
        <w:t>：</w:t>
      </w:r>
      <w:r>
        <w:rPr>
          <w:rFonts w:hint="eastAsia" w:ascii="仿宋" w:hAnsi="仿宋" w:eastAsia="仿宋"/>
          <w:sz w:val="24"/>
        </w:rPr>
        <w:t>南方医科大学中西医结合医院</w:t>
      </w:r>
    </w:p>
    <w:p w14:paraId="1A2F3D5F">
      <w:pPr>
        <w:spacing w:line="360" w:lineRule="auto"/>
        <w:rPr>
          <w:rFonts w:hint="eastAsia" w:ascii="宋体" w:hAnsi="宋体"/>
          <w:sz w:val="24"/>
        </w:rPr>
      </w:pPr>
      <w:r>
        <w:rPr>
          <w:rFonts w:hint="eastAsia" w:ascii="宋体" w:hAnsi="宋体"/>
          <w:b/>
          <w:sz w:val="24"/>
        </w:rPr>
        <w:t>乙方</w:t>
      </w:r>
      <w:r>
        <w:rPr>
          <w:rFonts w:hint="eastAsia" w:ascii="宋体" w:hAnsi="宋体"/>
          <w:sz w:val="24"/>
        </w:rPr>
        <w:t>：</w:t>
      </w:r>
    </w:p>
    <w:p w14:paraId="2152220E">
      <w:pPr>
        <w:ind w:firstLine="442" w:firstLineChars="200"/>
        <w:rPr>
          <w:rFonts w:hint="eastAsia" w:ascii="仿宋" w:hAnsi="仿宋" w:eastAsia="仿宋"/>
          <w:sz w:val="24"/>
        </w:rPr>
      </w:pPr>
      <w:r>
        <w:rPr>
          <w:rFonts w:hint="eastAsia" w:ascii="仿宋" w:hAnsi="仿宋" w:eastAsia="仿宋"/>
          <w:sz w:val="24"/>
        </w:rPr>
        <w:t>为进一步加强医疗卫生行风建设，规范医疗卫生机构医药产品购销行为，有效防范商业贿赂行为，营造公平交易、诚实守信的购销环境，经甲、乙双方协商，同意签订本合同，并共同遵守：</w:t>
      </w:r>
    </w:p>
    <w:p w14:paraId="66F143EE">
      <w:pPr>
        <w:ind w:firstLine="442" w:firstLineChars="200"/>
        <w:rPr>
          <w:rFonts w:hint="eastAsia" w:ascii="仿宋" w:hAnsi="仿宋" w:eastAsia="仿宋"/>
          <w:sz w:val="24"/>
        </w:rPr>
      </w:pPr>
      <w:r>
        <w:rPr>
          <w:rFonts w:hint="eastAsia" w:ascii="仿宋" w:hAnsi="仿宋" w:eastAsia="仿宋"/>
          <w:sz w:val="24"/>
        </w:rPr>
        <w:t>一、甲乙双方按照《中华人民共和国民法典》及医药产品购销合同约定购销药品、医用设备、医用耗材等医药产品。</w:t>
      </w:r>
    </w:p>
    <w:p w14:paraId="50C8014A">
      <w:pPr>
        <w:ind w:firstLine="442" w:firstLineChars="200"/>
        <w:rPr>
          <w:rFonts w:hint="eastAsia" w:ascii="仿宋" w:hAnsi="仿宋" w:eastAsia="仿宋"/>
          <w:sz w:val="24"/>
        </w:rPr>
      </w:pPr>
      <w:r>
        <w:rPr>
          <w:rFonts w:hint="eastAsia" w:ascii="仿宋" w:hAnsi="仿宋" w:eastAsia="仿宋"/>
          <w:sz w:val="24"/>
        </w:rPr>
        <w:t>二、甲方应当严格执行医药产品购销合同验收、入库制度，对采购医药产品及发票进行查验，不得违反有关规定合同外采购、违价采购或从非规定渠道采购。</w:t>
      </w:r>
    </w:p>
    <w:p w14:paraId="23E64914">
      <w:pPr>
        <w:ind w:firstLine="442" w:firstLineChars="200"/>
        <w:rPr>
          <w:rFonts w:hint="eastAsia" w:ascii="仿宋" w:hAnsi="仿宋" w:eastAsia="仿宋"/>
          <w:sz w:val="24"/>
        </w:rPr>
      </w:pPr>
      <w:r>
        <w:rPr>
          <w:rFonts w:hint="eastAsia" w:ascii="仿宋" w:hAnsi="仿宋" w:eastAsia="仿宋"/>
          <w:sz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48E4BE5">
      <w:pPr>
        <w:ind w:firstLine="442" w:firstLineChars="200"/>
        <w:rPr>
          <w:rFonts w:hint="eastAsia" w:ascii="仿宋" w:hAnsi="仿宋" w:eastAsia="仿宋"/>
          <w:sz w:val="24"/>
        </w:rPr>
      </w:pPr>
      <w:r>
        <w:rPr>
          <w:rFonts w:hint="eastAsia" w:ascii="仿宋" w:hAnsi="仿宋" w:eastAsia="仿宋"/>
          <w:sz w:val="24"/>
        </w:rPr>
        <w:t>四、严禁甲方工作人员利用任何途径和方式，为乙方统计医师个人及临床科室有关医药产品用量信息，或为乙方统计提供便利。</w:t>
      </w:r>
    </w:p>
    <w:p w14:paraId="720282E7">
      <w:pPr>
        <w:ind w:firstLine="442" w:firstLineChars="200"/>
        <w:rPr>
          <w:rFonts w:hint="eastAsia" w:ascii="仿宋" w:hAnsi="仿宋" w:eastAsia="仿宋"/>
          <w:sz w:val="24"/>
        </w:rPr>
      </w:pPr>
      <w:r>
        <w:rPr>
          <w:rFonts w:hint="eastAsia" w:ascii="仿宋" w:hAnsi="仿宋" w:eastAsia="仿宋"/>
          <w:sz w:val="24"/>
        </w:rPr>
        <w:t>五、乙方不得以回扣、宴请等方式影响甲方工作人员采购或使用医药产品的选择权，不得在学术活动中提供旅游、超标准支付食宿费用。</w:t>
      </w:r>
    </w:p>
    <w:p w14:paraId="6564DBA4">
      <w:pPr>
        <w:ind w:firstLine="442" w:firstLineChars="200"/>
        <w:rPr>
          <w:rFonts w:hint="eastAsia" w:ascii="仿宋" w:hAnsi="仿宋" w:eastAsia="仿宋"/>
          <w:sz w:val="24"/>
        </w:rPr>
      </w:pPr>
      <w:r>
        <w:rPr>
          <w:rFonts w:hint="eastAsia" w:ascii="仿宋" w:hAnsi="仿宋" w:eastAsia="仿宋"/>
          <w:sz w:val="24"/>
        </w:rPr>
        <w:t>六、乙方指定    作为销售代表洽谈业务，身份证号：                ，联系电话：               。销售代表必须在工作时间到甲方指定地点联系商谈，不得到住院部、门诊部、医技科室等推销医药产品，不得借故到甲方相关领导、部门负责人及相关工作人员家中访谈并提供任何好处费。</w:t>
      </w:r>
    </w:p>
    <w:p w14:paraId="694B0901">
      <w:pPr>
        <w:ind w:firstLine="442" w:firstLineChars="200"/>
        <w:rPr>
          <w:rFonts w:hint="eastAsia" w:ascii="仿宋" w:hAnsi="仿宋" w:eastAsia="仿宋"/>
          <w:sz w:val="24"/>
        </w:rPr>
      </w:pPr>
      <w:r>
        <w:rPr>
          <w:rFonts w:hint="eastAsia" w:ascii="仿宋" w:hAnsi="仿宋" w:eastAsia="仿宋"/>
          <w:sz w:val="24"/>
        </w:rPr>
        <w:t>七、乙方如违反本合同，一经发现，甲方有权终止购销合同，并向有关卫生计生行政部门报告。如乙方被列入商业贿赂不良记录，则严格按照《国家</w:t>
      </w:r>
      <w:r>
        <w:rPr>
          <w:rFonts w:ascii="仿宋" w:hAnsi="仿宋" w:eastAsia="仿宋"/>
          <w:sz w:val="24"/>
        </w:rPr>
        <w:t>卫生计生委关于建立医药购销领域商业贿赂不良记录的规定</w:t>
      </w:r>
      <w:r>
        <w:rPr>
          <w:rFonts w:hint="eastAsia" w:ascii="仿宋" w:hAnsi="仿宋" w:eastAsia="仿宋"/>
          <w:sz w:val="24"/>
        </w:rPr>
        <w:t>》</w:t>
      </w:r>
      <w:r>
        <w:rPr>
          <w:rFonts w:ascii="仿宋" w:hAnsi="仿宋" w:eastAsia="仿宋"/>
          <w:sz w:val="24"/>
          <w:shd w:val="clear" w:color="auto" w:fill="FFFFFF"/>
        </w:rPr>
        <w:t>（国卫法制发〔2013〕50号）</w:t>
      </w:r>
      <w:r>
        <w:rPr>
          <w:rFonts w:hint="eastAsia" w:ascii="仿宋" w:hAnsi="仿宋" w:eastAsia="仿宋"/>
          <w:sz w:val="24"/>
        </w:rPr>
        <w:t>相关规定处理。</w:t>
      </w:r>
    </w:p>
    <w:p w14:paraId="7EA550D0">
      <w:pPr>
        <w:ind w:firstLine="442" w:firstLineChars="200"/>
        <w:rPr>
          <w:rFonts w:hint="eastAsia" w:ascii="仿宋" w:hAnsi="仿宋" w:eastAsia="仿宋"/>
          <w:sz w:val="24"/>
        </w:rPr>
      </w:pPr>
      <w:r>
        <w:rPr>
          <w:rFonts w:hint="eastAsia" w:ascii="仿宋" w:hAnsi="仿宋" w:eastAsia="仿宋"/>
          <w:sz w:val="24"/>
        </w:rPr>
        <w:t>八、本合同作为医药产品购销合同的重要组成部分，与购销合同一并执行，具有同等的法律效力。</w:t>
      </w:r>
    </w:p>
    <w:p w14:paraId="271A3985">
      <w:pPr>
        <w:ind w:firstLine="442" w:firstLineChars="200"/>
        <w:rPr>
          <w:rFonts w:hint="eastAsia" w:ascii="仿宋" w:hAnsi="仿宋" w:eastAsia="仿宋"/>
          <w:sz w:val="24"/>
        </w:rPr>
      </w:pPr>
      <w:r>
        <w:rPr>
          <w:rFonts w:hint="eastAsia" w:ascii="仿宋" w:hAnsi="仿宋" w:eastAsia="仿宋"/>
          <w:sz w:val="24"/>
        </w:rPr>
        <w:t>九、本合同一式陆份，甲方执肆份，乙方执壹份，甲方纪检监察部门（基层医疗卫生机构上报上级卫生计生行政部门）执一份，并从签订之日起生效。</w:t>
      </w:r>
    </w:p>
    <w:p w14:paraId="341D63D5">
      <w:pPr>
        <w:spacing w:line="360" w:lineRule="auto"/>
        <w:rPr>
          <w:rFonts w:hint="eastAsia" w:ascii="仿宋" w:hAnsi="仿宋" w:eastAsia="仿宋"/>
          <w:sz w:val="24"/>
        </w:rPr>
      </w:pPr>
    </w:p>
    <w:p w14:paraId="668BA4EA">
      <w:pPr>
        <w:spacing w:line="360" w:lineRule="auto"/>
        <w:rPr>
          <w:rFonts w:hint="eastAsia" w:ascii="仿宋" w:hAnsi="仿宋" w:eastAsia="仿宋"/>
          <w:sz w:val="24"/>
        </w:rPr>
      </w:pPr>
      <w:r>
        <w:rPr>
          <w:rFonts w:hint="eastAsia" w:ascii="仿宋" w:hAnsi="仿宋" w:eastAsia="仿宋"/>
          <w:sz w:val="24"/>
        </w:rPr>
        <w:t>甲方（盖章）：                         乙方（盖章）：</w:t>
      </w:r>
    </w:p>
    <w:p w14:paraId="16428A3D">
      <w:pPr>
        <w:spacing w:line="360" w:lineRule="auto"/>
        <w:rPr>
          <w:rFonts w:hint="eastAsia" w:ascii="仿宋" w:hAnsi="仿宋" w:eastAsia="仿宋"/>
          <w:sz w:val="24"/>
        </w:rPr>
      </w:pPr>
      <w:r>
        <w:rPr>
          <w:rFonts w:hint="eastAsia" w:ascii="仿宋" w:hAnsi="仿宋" w:eastAsia="仿宋"/>
          <w:sz w:val="24"/>
        </w:rPr>
        <w:t>法定代表人（</w:t>
      </w:r>
      <w:r>
        <w:rPr>
          <w:rFonts w:ascii="仿宋" w:hAnsi="仿宋" w:eastAsia="仿宋"/>
          <w:sz w:val="24"/>
        </w:rPr>
        <w:t>负责人</w:t>
      </w:r>
      <w:r>
        <w:rPr>
          <w:rFonts w:hint="eastAsia" w:ascii="仿宋" w:hAnsi="仿宋" w:eastAsia="仿宋"/>
          <w:sz w:val="24"/>
        </w:rPr>
        <w:t>）：                 法定代表人（</w:t>
      </w:r>
      <w:r>
        <w:rPr>
          <w:rFonts w:ascii="仿宋" w:hAnsi="仿宋" w:eastAsia="仿宋"/>
          <w:sz w:val="24"/>
        </w:rPr>
        <w:t>负责人</w:t>
      </w:r>
      <w:r>
        <w:rPr>
          <w:rFonts w:hint="eastAsia" w:ascii="仿宋" w:hAnsi="仿宋" w:eastAsia="仿宋"/>
          <w:sz w:val="24"/>
        </w:rPr>
        <w:t>）：</w:t>
      </w:r>
    </w:p>
    <w:p w14:paraId="11BE08D9">
      <w:pPr>
        <w:spacing w:line="360" w:lineRule="auto"/>
        <w:rPr>
          <w:rFonts w:hint="eastAsia" w:ascii="仿宋" w:hAnsi="仿宋" w:eastAsia="仿宋"/>
          <w:sz w:val="24"/>
        </w:rPr>
      </w:pPr>
      <w:r>
        <w:rPr>
          <w:rFonts w:hint="eastAsia" w:ascii="仿宋" w:hAnsi="仿宋" w:eastAsia="仿宋"/>
          <w:sz w:val="24"/>
        </w:rPr>
        <w:t xml:space="preserve">经办部门负责人：  </w:t>
      </w:r>
      <w:r>
        <w:rPr>
          <w:rFonts w:ascii="仿宋" w:hAnsi="仿宋" w:eastAsia="仿宋"/>
          <w:sz w:val="24"/>
        </w:rPr>
        <w:t xml:space="preserve">                    </w:t>
      </w:r>
      <w:r>
        <w:rPr>
          <w:rFonts w:hint="eastAsia" w:ascii="仿宋" w:hAnsi="仿宋" w:eastAsia="仿宋"/>
          <w:sz w:val="24"/>
        </w:rPr>
        <w:t>经办人签名：</w:t>
      </w:r>
    </w:p>
    <w:p w14:paraId="426639A2">
      <w:pPr>
        <w:spacing w:line="360" w:lineRule="auto"/>
        <w:rPr>
          <w:rFonts w:hint="eastAsia" w:ascii="仿宋" w:hAnsi="仿宋" w:eastAsia="仿宋"/>
          <w:sz w:val="24"/>
        </w:rPr>
      </w:pPr>
      <w:r>
        <w:rPr>
          <w:rFonts w:hint="eastAsia" w:ascii="仿宋" w:hAnsi="仿宋" w:eastAsia="仿宋"/>
          <w:sz w:val="24"/>
        </w:rPr>
        <w:t>联系地址：广州市石榴岗路13号大院     联系地址：</w:t>
      </w:r>
    </w:p>
    <w:p w14:paraId="66BDDCA8">
      <w:pPr>
        <w:spacing w:line="360" w:lineRule="auto"/>
        <w:rPr>
          <w:rFonts w:hint="eastAsia" w:ascii="仿宋" w:hAnsi="仿宋" w:eastAsia="仿宋"/>
          <w:sz w:val="24"/>
        </w:rPr>
      </w:pPr>
      <w:r>
        <w:rPr>
          <w:rFonts w:hint="eastAsia" w:ascii="仿宋" w:hAnsi="仿宋" w:eastAsia="仿宋"/>
          <w:sz w:val="24"/>
        </w:rPr>
        <w:t>联系电话：020-61650000</w:t>
      </w:r>
      <w:r>
        <w:rPr>
          <w:rFonts w:ascii="仿宋" w:hAnsi="仿宋" w:eastAsia="仿宋"/>
          <w:sz w:val="24"/>
        </w:rPr>
        <w:t xml:space="preserve">                </w:t>
      </w:r>
      <w:r>
        <w:rPr>
          <w:rFonts w:hint="eastAsia" w:ascii="仿宋" w:hAnsi="仿宋" w:eastAsia="仿宋"/>
          <w:sz w:val="24"/>
        </w:rPr>
        <w:t>联系电话：</w:t>
      </w:r>
    </w:p>
    <w:p w14:paraId="1CC70CF3">
      <w:pPr>
        <w:spacing w:line="360" w:lineRule="auto"/>
        <w:ind w:firstLine="2100" w:firstLineChars="950"/>
      </w:pPr>
      <w:r>
        <w:rPr>
          <w:rFonts w:hint="eastAsia" w:ascii="仿宋" w:hAnsi="仿宋" w:eastAsia="仿宋"/>
          <w:sz w:val="24"/>
        </w:rPr>
        <w:t>年   月   日                          年   月  日</w:t>
      </w:r>
    </w:p>
    <w:p w14:paraId="1B4879AE">
      <w:pPr>
        <w:numPr>
          <w:ilvl w:val="0"/>
          <w:numId w:val="4"/>
        </w:numPr>
        <w:tabs>
          <w:tab w:val="left" w:pos="3765"/>
        </w:tabs>
        <w:adjustRightInd w:val="0"/>
        <w:snapToGrid w:val="0"/>
        <w:spacing w:line="560" w:lineRule="exact"/>
        <w:jc w:val="center"/>
        <w:outlineLvl w:val="0"/>
        <w:rPr>
          <w:rFonts w:hint="eastAsia" w:ascii="方正小标宋简体" w:hAnsi="方正小标宋简体" w:eastAsia="方正小标宋简体" w:cs="方正小标宋简体"/>
          <w:sz w:val="32"/>
          <w:szCs w:val="32"/>
        </w:rPr>
      </w:pPr>
      <w:r>
        <w:rPr>
          <w:rFonts w:hint="eastAsia"/>
          <w:b/>
        </w:rPr>
        <w:br w:type="page"/>
      </w:r>
      <w:bookmarkStart w:id="134" w:name="_Toc14250"/>
      <w:bookmarkStart w:id="135" w:name="_Toc237415687"/>
      <w:r>
        <w:rPr>
          <w:rFonts w:hint="eastAsia" w:ascii="方正小标宋简体" w:hAnsi="方正小标宋简体" w:eastAsia="方正小标宋简体" w:cs="方正小标宋简体"/>
          <w:sz w:val="32"/>
          <w:szCs w:val="32"/>
        </w:rPr>
        <w:t>参选文件格式</w:t>
      </w:r>
      <w:bookmarkEnd w:id="134"/>
      <w:bookmarkEnd w:id="135"/>
    </w:p>
    <w:p w14:paraId="4670D2EA">
      <w:pPr>
        <w:pStyle w:val="4"/>
      </w:pPr>
    </w:p>
    <w:p w14:paraId="71583884">
      <w:pPr>
        <w:pStyle w:val="3"/>
        <w:rPr>
          <w:rFonts w:hint="eastAsia" w:ascii="方正小标宋简体" w:hAnsi="方正小标宋简体" w:eastAsia="方正小标宋简体" w:cs="方正小标宋简体"/>
          <w:sz w:val="44"/>
          <w:szCs w:val="44"/>
        </w:rPr>
      </w:pPr>
      <w:r>
        <w:rPr>
          <w:rFonts w:ascii="Arial Unicode MS" w:hAnsi="Arial Unicode MS" w:eastAsia="宋体"/>
        </w:rPr>
        <w:br w:type="page"/>
      </w:r>
      <w:bookmarkStart w:id="136" w:name="_Toc237415688"/>
      <w:bookmarkStart w:id="137" w:name="_Toc14578"/>
      <w:bookmarkStart w:id="138" w:name="_Toc25167"/>
      <w:r>
        <w:rPr>
          <w:rFonts w:hint="eastAsia" w:ascii="方正小标宋简体" w:hAnsi="方正小标宋简体" w:eastAsia="方正小标宋简体" w:cs="方正小标宋简体"/>
          <w:sz w:val="44"/>
          <w:szCs w:val="44"/>
        </w:rPr>
        <w:t>第一项 自查表</w:t>
      </w:r>
      <w:bookmarkEnd w:id="136"/>
      <w:bookmarkEnd w:id="137"/>
      <w:bookmarkEnd w:id="138"/>
    </w:p>
    <w:p w14:paraId="607D142A">
      <w:pPr>
        <w:pStyle w:val="13"/>
        <w:ind w:right="0" w:rightChars="0"/>
        <w:jc w:val="both"/>
        <w:rPr>
          <w:rFonts w:hint="eastAsia" w:ascii="方正小标宋简体" w:hAnsi="方正小标宋简体" w:eastAsia="方正小标宋简体" w:cs="方正小标宋简体"/>
          <w:bCs/>
          <w:kern w:val="44"/>
          <w:sz w:val="32"/>
        </w:rPr>
      </w:pPr>
      <w:bookmarkStart w:id="139" w:name="_Toc237415689"/>
    </w:p>
    <w:p w14:paraId="397B84F9">
      <w:pPr>
        <w:pStyle w:val="13"/>
        <w:ind w:right="0" w:rightChars="0"/>
        <w:rPr>
          <w:rFonts w:hint="eastAsia" w:ascii="方正小标宋简体" w:hAnsi="方正小标宋简体" w:eastAsia="方正小标宋简体" w:cs="方正小标宋简体"/>
          <w:bCs/>
          <w:kern w:val="44"/>
          <w:sz w:val="32"/>
        </w:rPr>
      </w:pPr>
      <w:r>
        <w:rPr>
          <w:rFonts w:hint="eastAsia" w:ascii="方正小标宋简体" w:hAnsi="方正小标宋简体" w:eastAsia="方正小标宋简体" w:cs="方正小标宋简体"/>
          <w:bCs/>
          <w:kern w:val="44"/>
          <w:sz w:val="32"/>
        </w:rPr>
        <w:t>资格性审查自查表</w:t>
      </w:r>
      <w:bookmarkEnd w:id="139"/>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6159"/>
        <w:gridCol w:w="1140"/>
        <w:gridCol w:w="1327"/>
      </w:tblGrid>
      <w:tr w14:paraId="3261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384" w:type="pct"/>
            <w:vAlign w:val="center"/>
          </w:tcPr>
          <w:p w14:paraId="52A905A5">
            <w:pPr>
              <w:adjustRightInd w:val="0"/>
              <w:snapToGrid w:val="0"/>
              <w:spacing w:line="560" w:lineRule="exact"/>
              <w:jc w:val="center"/>
              <w:rPr>
                <w:rFonts w:hint="eastAsia" w:ascii="黑体" w:hAnsi="黑体" w:eastAsia="黑体" w:cs="黑体"/>
                <w:bCs/>
                <w:sz w:val="24"/>
                <w:szCs w:val="21"/>
              </w:rPr>
            </w:pPr>
            <w:r>
              <w:rPr>
                <w:rFonts w:hint="eastAsia" w:ascii="黑体" w:hAnsi="黑体" w:eastAsia="黑体" w:cs="黑体"/>
                <w:bCs/>
                <w:sz w:val="24"/>
                <w:szCs w:val="21"/>
              </w:rPr>
              <w:t>序号</w:t>
            </w:r>
          </w:p>
        </w:tc>
        <w:tc>
          <w:tcPr>
            <w:tcW w:w="3295" w:type="pct"/>
            <w:vAlign w:val="center"/>
          </w:tcPr>
          <w:p w14:paraId="394A65D5">
            <w:pPr>
              <w:adjustRightInd w:val="0"/>
              <w:snapToGrid w:val="0"/>
              <w:spacing w:line="560" w:lineRule="exact"/>
              <w:jc w:val="center"/>
              <w:rPr>
                <w:rFonts w:hint="eastAsia" w:ascii="黑体" w:hAnsi="黑体" w:eastAsia="黑体" w:cs="黑体"/>
                <w:bCs/>
                <w:sz w:val="24"/>
                <w:szCs w:val="21"/>
              </w:rPr>
            </w:pPr>
            <w:r>
              <w:rPr>
                <w:rFonts w:hint="eastAsia" w:ascii="黑体" w:hAnsi="黑体" w:eastAsia="黑体" w:cs="黑体"/>
                <w:bCs/>
                <w:sz w:val="24"/>
                <w:szCs w:val="21"/>
              </w:rPr>
              <w:t>竞磋文件要求</w:t>
            </w:r>
          </w:p>
        </w:tc>
        <w:tc>
          <w:tcPr>
            <w:tcW w:w="610" w:type="pct"/>
            <w:vAlign w:val="center"/>
          </w:tcPr>
          <w:p w14:paraId="76315C84">
            <w:pPr>
              <w:adjustRightInd w:val="0"/>
              <w:snapToGrid w:val="0"/>
              <w:spacing w:line="560" w:lineRule="exact"/>
              <w:jc w:val="center"/>
              <w:rPr>
                <w:rFonts w:hint="eastAsia" w:ascii="黑体" w:hAnsi="黑体" w:eastAsia="黑体" w:cs="黑体"/>
                <w:bCs/>
                <w:sz w:val="24"/>
                <w:szCs w:val="21"/>
              </w:rPr>
            </w:pPr>
            <w:r>
              <w:rPr>
                <w:rFonts w:hint="eastAsia" w:ascii="黑体" w:hAnsi="黑体" w:eastAsia="黑体" w:cs="黑体"/>
                <w:bCs/>
                <w:sz w:val="24"/>
                <w:szCs w:val="21"/>
              </w:rPr>
              <w:t>自查结论</w:t>
            </w:r>
          </w:p>
        </w:tc>
        <w:tc>
          <w:tcPr>
            <w:tcW w:w="710" w:type="pct"/>
            <w:vAlign w:val="center"/>
          </w:tcPr>
          <w:p w14:paraId="5EB7205F">
            <w:pPr>
              <w:adjustRightInd w:val="0"/>
              <w:snapToGrid w:val="0"/>
              <w:spacing w:line="560" w:lineRule="exact"/>
              <w:jc w:val="center"/>
              <w:rPr>
                <w:rFonts w:hint="eastAsia" w:ascii="黑体" w:hAnsi="黑体" w:eastAsia="黑体" w:cs="黑体"/>
                <w:bCs/>
                <w:sz w:val="24"/>
                <w:szCs w:val="21"/>
              </w:rPr>
            </w:pPr>
            <w:r>
              <w:rPr>
                <w:rFonts w:hint="eastAsia" w:ascii="黑体" w:hAnsi="黑体" w:eastAsia="黑体" w:cs="黑体"/>
                <w:bCs/>
                <w:sz w:val="24"/>
                <w:szCs w:val="21"/>
              </w:rPr>
              <w:t>证明资料</w:t>
            </w:r>
          </w:p>
        </w:tc>
      </w:tr>
      <w:tr w14:paraId="3F0F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vAlign w:val="center"/>
          </w:tcPr>
          <w:p w14:paraId="6E6BB503">
            <w:pPr>
              <w:adjustRightInd w:val="0"/>
              <w:snapToGrid w:val="0"/>
              <w:spacing w:line="5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1</w:t>
            </w:r>
          </w:p>
        </w:tc>
        <w:tc>
          <w:tcPr>
            <w:tcW w:w="3295" w:type="pct"/>
            <w:vAlign w:val="center"/>
          </w:tcPr>
          <w:p w14:paraId="350C34BE">
            <w:pPr>
              <w:pStyle w:val="13"/>
              <w:ind w:right="0" w:rightChars="0"/>
              <w:jc w:val="both"/>
              <w:rPr>
                <w:rFonts w:hAnsi="仿宋_GB2312" w:cs="仿宋_GB2312"/>
                <w:szCs w:val="21"/>
              </w:rPr>
            </w:pPr>
            <w:r>
              <w:rPr>
                <w:rFonts w:hint="eastAsia" w:hAnsi="仿宋_GB2312" w:cs="仿宋_GB2312"/>
              </w:rPr>
              <w:t>具有独立承担民事责任能力的在中华人民共和国境内注册的法人或其他组织。（提供有效的营业执照或事业法人登记证等相关证明复印件）</w:t>
            </w:r>
          </w:p>
        </w:tc>
        <w:tc>
          <w:tcPr>
            <w:tcW w:w="610" w:type="pct"/>
            <w:vAlign w:val="center"/>
          </w:tcPr>
          <w:p w14:paraId="30503238">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□通过</w:t>
            </w:r>
          </w:p>
          <w:p w14:paraId="0FA355FA">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□不通过</w:t>
            </w:r>
          </w:p>
        </w:tc>
        <w:tc>
          <w:tcPr>
            <w:tcW w:w="710" w:type="pct"/>
            <w:vAlign w:val="center"/>
          </w:tcPr>
          <w:p w14:paraId="0826242D">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见响应文件</w:t>
            </w:r>
          </w:p>
          <w:p w14:paraId="3A468958">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第（）页</w:t>
            </w:r>
          </w:p>
        </w:tc>
      </w:tr>
      <w:tr w14:paraId="21B8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vAlign w:val="center"/>
          </w:tcPr>
          <w:p w14:paraId="5E5AD767">
            <w:pPr>
              <w:adjustRightInd w:val="0"/>
              <w:snapToGrid w:val="0"/>
              <w:spacing w:line="5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2</w:t>
            </w:r>
          </w:p>
        </w:tc>
        <w:tc>
          <w:tcPr>
            <w:tcW w:w="3295" w:type="pct"/>
            <w:vAlign w:val="center"/>
          </w:tcPr>
          <w:p w14:paraId="5E066A40">
            <w:pPr>
              <w:pStyle w:val="13"/>
              <w:ind w:right="0" w:rightChars="0"/>
              <w:jc w:val="both"/>
              <w:rPr>
                <w:rFonts w:hAnsi="仿宋_GB2312" w:cs="仿宋_GB2312"/>
                <w:szCs w:val="21"/>
              </w:rPr>
            </w:pPr>
            <w:r>
              <w:rPr>
                <w:rFonts w:hint="eastAsia" w:hAnsi="仿宋_GB2312" w:cs="仿宋_GB2312"/>
              </w:rPr>
              <w:t>通过“信用中国”网站、“中国政府采购网”查询的主体信用记录，供应商未被列入信用记录失信被执行人、重大税收违法案件当事人名单、政府采购严重违法失信行为记录名单。（提供查询截图）</w:t>
            </w:r>
          </w:p>
        </w:tc>
        <w:tc>
          <w:tcPr>
            <w:tcW w:w="610" w:type="pct"/>
            <w:vAlign w:val="center"/>
          </w:tcPr>
          <w:p w14:paraId="3726FF4E">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□通过</w:t>
            </w:r>
          </w:p>
          <w:p w14:paraId="6E1D15F2">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□不通过</w:t>
            </w:r>
          </w:p>
        </w:tc>
        <w:tc>
          <w:tcPr>
            <w:tcW w:w="710" w:type="pct"/>
            <w:vAlign w:val="center"/>
          </w:tcPr>
          <w:p w14:paraId="6CDFD11C">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见响应文件</w:t>
            </w:r>
          </w:p>
          <w:p w14:paraId="61660419">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第（）页</w:t>
            </w:r>
          </w:p>
        </w:tc>
      </w:tr>
      <w:tr w14:paraId="7C2E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vAlign w:val="center"/>
          </w:tcPr>
          <w:p w14:paraId="30B15EEB">
            <w:pPr>
              <w:adjustRightInd w:val="0"/>
              <w:snapToGrid w:val="0"/>
              <w:spacing w:line="5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3</w:t>
            </w:r>
          </w:p>
        </w:tc>
        <w:tc>
          <w:tcPr>
            <w:tcW w:w="3295" w:type="pct"/>
            <w:vAlign w:val="center"/>
          </w:tcPr>
          <w:p w14:paraId="1F933890">
            <w:pPr>
              <w:pStyle w:val="13"/>
              <w:ind w:right="0" w:rightChars="0" w:firstLine="442" w:firstLineChars="200"/>
              <w:jc w:val="both"/>
              <w:rPr>
                <w:rFonts w:hAnsi="仿宋_GB2312" w:cs="仿宋_GB2312"/>
              </w:rPr>
            </w:pPr>
            <w:r>
              <w:rPr>
                <w:rFonts w:hint="eastAsia" w:hAnsi="仿宋_GB2312" w:cs="仿宋_GB2312"/>
              </w:rPr>
              <w:t>供应商需满足的其他条件：</w:t>
            </w:r>
          </w:p>
          <w:p w14:paraId="6DEDA1F5">
            <w:pPr>
              <w:pStyle w:val="13"/>
              <w:ind w:right="0" w:rightChars="0" w:firstLine="442" w:firstLineChars="200"/>
              <w:jc w:val="both"/>
              <w:rPr>
                <w:rFonts w:hAnsi="仿宋_GB2312" w:cs="仿宋_GB2312"/>
                <w:lang w:val="zh-CN"/>
              </w:rPr>
            </w:pPr>
            <w:r>
              <w:rPr>
                <w:rFonts w:hint="eastAsia" w:hAnsi="仿宋_GB2312" w:cs="仿宋_GB2312"/>
                <w:lang w:val="zh-CN"/>
              </w:rPr>
              <w:t>1）如响应人为生产企业：所投产品为第一类医疗器械，提供监督管理部门签发的有效的《医疗器械生产备案凭证》复印件</w:t>
            </w:r>
            <w:r>
              <w:rPr>
                <w:rFonts w:hint="eastAsia" w:hAnsi="仿宋_GB2312" w:cs="仿宋_GB2312"/>
              </w:rPr>
              <w:t>或供应商资质响应承诺函（模板见后文）</w:t>
            </w:r>
            <w:r>
              <w:rPr>
                <w:rFonts w:hint="eastAsia" w:hAnsi="仿宋_GB2312" w:cs="仿宋_GB2312"/>
                <w:lang w:val="zh-CN"/>
              </w:rPr>
              <w:t>；</w:t>
            </w:r>
          </w:p>
          <w:p w14:paraId="506B364E">
            <w:pPr>
              <w:pStyle w:val="13"/>
              <w:ind w:right="0" w:rightChars="0" w:firstLine="442" w:firstLineChars="200"/>
              <w:jc w:val="both"/>
              <w:rPr>
                <w:rFonts w:hAnsi="仿宋_GB2312" w:cs="仿宋_GB2312"/>
                <w:lang w:val="zh-CN"/>
              </w:rPr>
            </w:pPr>
            <w:r>
              <w:rPr>
                <w:rFonts w:hint="eastAsia" w:hAnsi="仿宋_GB2312" w:cs="仿宋_GB2312"/>
                <w:lang w:val="zh-CN"/>
              </w:rPr>
              <w:t>2）如响应人为生产企业：所投产品为第二、三类医疗器械，提供监督管理部门签发的有效的《医疗器械生产许可证》复印件；</w:t>
            </w:r>
          </w:p>
          <w:p w14:paraId="3C0F2361">
            <w:pPr>
              <w:pStyle w:val="13"/>
              <w:ind w:right="0" w:rightChars="0" w:firstLine="442" w:firstLineChars="200"/>
              <w:jc w:val="both"/>
              <w:rPr>
                <w:rFonts w:hAnsi="仿宋_GB2312" w:cs="仿宋_GB2312"/>
                <w:lang w:val="zh-CN"/>
              </w:rPr>
            </w:pPr>
            <w:r>
              <w:rPr>
                <w:rFonts w:hint="eastAsia" w:hAnsi="仿宋_GB2312" w:cs="仿宋_GB2312"/>
                <w:lang w:val="zh-CN"/>
              </w:rPr>
              <w:t>3）如响应人为经营企业：所投产品为第三类医疗器械，提供监督管理部门签发的有效的《医疗器械经营许可证》复印件；</w:t>
            </w:r>
          </w:p>
          <w:p w14:paraId="2BCD204C">
            <w:pPr>
              <w:pStyle w:val="13"/>
              <w:ind w:right="0" w:rightChars="0" w:firstLine="442" w:firstLineChars="200"/>
              <w:jc w:val="both"/>
              <w:rPr>
                <w:rFonts w:hAnsi="仿宋_GB2312" w:cs="仿宋_GB2312"/>
                <w:lang w:val="zh-CN"/>
              </w:rPr>
            </w:pPr>
            <w:r>
              <w:rPr>
                <w:rFonts w:hint="eastAsia" w:hAnsi="仿宋_GB2312" w:cs="仿宋_GB2312"/>
                <w:lang w:val="zh-CN"/>
              </w:rPr>
              <w:t>4）如响应人为经营企业：所投产品为第二类医疗器械，响应时提供监督管理部门签发的有效的《医疗器械经营备案凭证》复印件</w:t>
            </w:r>
            <w:r>
              <w:rPr>
                <w:rFonts w:hint="eastAsia" w:hAnsi="仿宋_GB2312" w:cs="仿宋_GB2312"/>
              </w:rPr>
              <w:t>或</w:t>
            </w:r>
            <w:r>
              <w:rPr>
                <w:rFonts w:hint="eastAsia" w:hAnsi="仿宋_GB2312" w:cs="仿宋_GB2312"/>
                <w:lang w:val="zh-CN"/>
              </w:rPr>
              <w:t>供应商资质响应承诺函</w:t>
            </w:r>
            <w:r>
              <w:rPr>
                <w:rFonts w:hint="eastAsia" w:hAnsi="仿宋_GB2312" w:cs="仿宋_GB2312"/>
              </w:rPr>
              <w:t>（模板见后文）</w:t>
            </w:r>
            <w:r>
              <w:rPr>
                <w:rFonts w:hint="eastAsia" w:hAnsi="仿宋_GB2312" w:cs="仿宋_GB2312"/>
                <w:lang w:val="zh-CN"/>
              </w:rPr>
              <w:t>；</w:t>
            </w:r>
          </w:p>
          <w:p w14:paraId="775CD833">
            <w:pPr>
              <w:pStyle w:val="13"/>
              <w:ind w:right="0" w:rightChars="0"/>
              <w:jc w:val="both"/>
              <w:rPr>
                <w:rFonts w:hAnsi="仿宋_GB2312" w:cs="仿宋_GB2312"/>
                <w:szCs w:val="21"/>
              </w:rPr>
            </w:pPr>
            <w:r>
              <w:rPr>
                <w:rFonts w:hint="eastAsia" w:hAnsi="仿宋_GB2312" w:cs="仿宋_GB2312"/>
                <w:lang w:val="zh-CN"/>
              </w:rPr>
              <w:t>5）如所投产品属于第二类、第三类医疗器械，则必须提供有效的医疗器械注册证明复印件。</w:t>
            </w:r>
          </w:p>
        </w:tc>
        <w:tc>
          <w:tcPr>
            <w:tcW w:w="610" w:type="pct"/>
            <w:vAlign w:val="center"/>
          </w:tcPr>
          <w:p w14:paraId="3FDF1F81">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□通过</w:t>
            </w:r>
          </w:p>
          <w:p w14:paraId="6DC85ED1">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□不通过</w:t>
            </w:r>
          </w:p>
        </w:tc>
        <w:tc>
          <w:tcPr>
            <w:tcW w:w="710" w:type="pct"/>
            <w:vAlign w:val="center"/>
          </w:tcPr>
          <w:p w14:paraId="3AEA78A7">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见响应文件</w:t>
            </w:r>
          </w:p>
          <w:p w14:paraId="50237AE7">
            <w:pPr>
              <w:adjustRightInd w:val="0"/>
              <w:snapToGrid w:val="0"/>
              <w:spacing w:line="56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第（）页</w:t>
            </w:r>
          </w:p>
        </w:tc>
      </w:tr>
    </w:tbl>
    <w:p w14:paraId="2D716172">
      <w:pPr>
        <w:adjustRightInd w:val="0"/>
        <w:snapToGrid w:val="0"/>
        <w:spacing w:line="560" w:lineRule="exact"/>
        <w:rPr>
          <w:rFonts w:ascii="仿宋_GB2312" w:hAnsi="仿宋_GB2312" w:eastAsia="仿宋_GB2312" w:cs="仿宋_GB2312"/>
          <w:sz w:val="24"/>
        </w:rPr>
      </w:pPr>
    </w:p>
    <w:p w14:paraId="71B42CB3">
      <w:pPr>
        <w:adjustRightInd w:val="0"/>
        <w:snapToGrid w:val="0"/>
        <w:spacing w:line="560" w:lineRule="exact"/>
        <w:rPr>
          <w:rFonts w:ascii="Arial Unicode MS" w:hAnsi="Arial Unicode MS"/>
          <w:sz w:val="24"/>
        </w:rPr>
      </w:pPr>
      <w:r>
        <w:rPr>
          <w:rFonts w:hint="eastAsia" w:ascii="仿宋_GB2312" w:hAnsi="仿宋_GB2312" w:eastAsia="仿宋_GB2312" w:cs="仿宋_GB2312"/>
          <w:sz w:val="24"/>
        </w:rPr>
        <w:t>注：以上材料将作为供应商有效性审核的重要内容之一，供应商必须严格按照其内容及序列要求在响应文件中对应如实提供，对资格性和符合性证明文件的任何缺漏和不符合项将会直接导致响应文件无效！供应商根据自查结论在对应的□打“√”。</w:t>
      </w:r>
    </w:p>
    <w:p w14:paraId="2823CA83">
      <w:pPr>
        <w:pStyle w:val="4"/>
        <w:adjustRightInd w:val="0"/>
        <w:snapToGrid w:val="0"/>
        <w:spacing w:line="560" w:lineRule="exact"/>
        <w:jc w:val="center"/>
        <w:rPr>
          <w:rFonts w:hint="eastAsia" w:ascii="方正小标宋简体" w:hAnsi="方正小标宋简体" w:eastAsia="方正小标宋简体" w:cs="方正小标宋简体"/>
          <w:bCs/>
          <w:kern w:val="44"/>
          <w:sz w:val="32"/>
          <w:szCs w:val="32"/>
        </w:rPr>
      </w:pPr>
      <w:r>
        <w:rPr>
          <w:rFonts w:hint="eastAsia" w:ascii="Arial Unicode MS" w:hAnsi="Arial Unicode MS"/>
          <w:sz w:val="24"/>
        </w:rPr>
        <w:br w:type="page"/>
      </w:r>
      <w:bookmarkStart w:id="140" w:name="_Toc20461"/>
      <w:bookmarkStart w:id="141" w:name="_Toc237415690"/>
      <w:r>
        <w:rPr>
          <w:rFonts w:hint="eastAsia" w:ascii="方正小标宋简体" w:hAnsi="方正小标宋简体" w:eastAsia="方正小标宋简体" w:cs="方正小标宋简体"/>
          <w:bCs/>
          <w:kern w:val="44"/>
          <w:sz w:val="32"/>
          <w:szCs w:val="32"/>
        </w:rPr>
        <w:t>符合性审查自查表</w:t>
      </w:r>
      <w:bookmarkEnd w:id="140"/>
      <w:bookmarkEnd w:id="141"/>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5709"/>
        <w:gridCol w:w="1170"/>
        <w:gridCol w:w="1312"/>
      </w:tblGrid>
      <w:tr w14:paraId="58C9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7" w:type="pct"/>
            <w:vAlign w:val="center"/>
          </w:tcPr>
          <w:p w14:paraId="001CC442">
            <w:pPr>
              <w:pStyle w:val="54"/>
              <w:widowControl w:val="0"/>
              <w:adjustRightInd w:val="0"/>
              <w:snapToGrid w:val="0"/>
              <w:spacing w:line="560" w:lineRule="exact"/>
              <w:jc w:val="center"/>
              <w:rPr>
                <w:rFonts w:hint="eastAsia" w:ascii="黑体" w:hAnsi="黑体" w:eastAsia="黑体" w:cs="黑体"/>
                <w:bCs/>
                <w:szCs w:val="21"/>
              </w:rPr>
            </w:pPr>
            <w:r>
              <w:rPr>
                <w:rFonts w:hint="eastAsia" w:ascii="黑体" w:hAnsi="黑体" w:eastAsia="黑体" w:cs="黑体"/>
                <w:bCs/>
                <w:spacing w:val="16"/>
                <w:szCs w:val="21"/>
              </w:rPr>
              <w:t>序</w:t>
            </w:r>
            <w:r>
              <w:rPr>
                <w:rFonts w:hint="eastAsia" w:ascii="黑体" w:hAnsi="黑体" w:eastAsia="黑体" w:cs="黑体"/>
                <w:bCs/>
                <w:szCs w:val="21"/>
              </w:rPr>
              <w:t>号</w:t>
            </w:r>
          </w:p>
        </w:tc>
        <w:tc>
          <w:tcPr>
            <w:tcW w:w="3054" w:type="pct"/>
            <w:vAlign w:val="center"/>
          </w:tcPr>
          <w:p w14:paraId="6AA1C216">
            <w:pPr>
              <w:pStyle w:val="54"/>
              <w:widowControl w:val="0"/>
              <w:adjustRightInd w:val="0"/>
              <w:snapToGrid w:val="0"/>
              <w:spacing w:line="560" w:lineRule="exact"/>
              <w:jc w:val="center"/>
              <w:rPr>
                <w:rFonts w:hint="eastAsia" w:ascii="黑体" w:hAnsi="黑体" w:eastAsia="黑体" w:cs="黑体"/>
                <w:bCs/>
                <w:szCs w:val="21"/>
              </w:rPr>
            </w:pPr>
            <w:r>
              <w:rPr>
                <w:rFonts w:hint="eastAsia" w:ascii="黑体" w:hAnsi="黑体" w:eastAsia="黑体" w:cs="黑体"/>
                <w:bCs/>
                <w:spacing w:val="16"/>
                <w:szCs w:val="21"/>
              </w:rPr>
              <w:t>应答</w:t>
            </w:r>
            <w:r>
              <w:rPr>
                <w:rFonts w:hint="eastAsia" w:ascii="黑体" w:hAnsi="黑体" w:eastAsia="黑体" w:cs="黑体"/>
                <w:bCs/>
                <w:szCs w:val="21"/>
              </w:rPr>
              <w:t>证</w:t>
            </w:r>
            <w:r>
              <w:rPr>
                <w:rFonts w:hint="eastAsia" w:ascii="黑体" w:hAnsi="黑体" w:eastAsia="黑体" w:cs="黑体"/>
                <w:bCs/>
                <w:spacing w:val="-86"/>
                <w:szCs w:val="21"/>
              </w:rPr>
              <w:t xml:space="preserve"> </w:t>
            </w:r>
            <w:r>
              <w:rPr>
                <w:rFonts w:hint="eastAsia" w:ascii="黑体" w:hAnsi="黑体" w:eastAsia="黑体" w:cs="黑体"/>
                <w:bCs/>
                <w:spacing w:val="16"/>
                <w:szCs w:val="21"/>
              </w:rPr>
              <w:t>明</w:t>
            </w:r>
            <w:r>
              <w:rPr>
                <w:rFonts w:hint="eastAsia" w:ascii="黑体" w:hAnsi="黑体" w:eastAsia="黑体" w:cs="黑体"/>
                <w:bCs/>
                <w:szCs w:val="21"/>
              </w:rPr>
              <w:t>资</w:t>
            </w:r>
            <w:r>
              <w:rPr>
                <w:rFonts w:hint="eastAsia" w:ascii="黑体" w:hAnsi="黑体" w:eastAsia="黑体" w:cs="黑体"/>
                <w:bCs/>
                <w:spacing w:val="-86"/>
                <w:szCs w:val="21"/>
              </w:rPr>
              <w:t xml:space="preserve"> </w:t>
            </w:r>
            <w:r>
              <w:rPr>
                <w:rFonts w:hint="eastAsia" w:ascii="黑体" w:hAnsi="黑体" w:eastAsia="黑体" w:cs="黑体"/>
                <w:bCs/>
                <w:spacing w:val="16"/>
                <w:szCs w:val="21"/>
              </w:rPr>
              <w:t>料</w:t>
            </w:r>
            <w:r>
              <w:rPr>
                <w:rFonts w:hint="eastAsia" w:ascii="黑体" w:hAnsi="黑体" w:eastAsia="黑体" w:cs="黑体"/>
                <w:bCs/>
                <w:szCs w:val="21"/>
              </w:rPr>
              <w:t>自</w:t>
            </w:r>
            <w:r>
              <w:rPr>
                <w:rFonts w:hint="eastAsia" w:ascii="黑体" w:hAnsi="黑体" w:eastAsia="黑体" w:cs="黑体"/>
                <w:bCs/>
                <w:spacing w:val="-86"/>
                <w:szCs w:val="21"/>
              </w:rPr>
              <w:t xml:space="preserve"> </w:t>
            </w:r>
            <w:r>
              <w:rPr>
                <w:rFonts w:hint="eastAsia" w:ascii="黑体" w:hAnsi="黑体" w:eastAsia="黑体" w:cs="黑体"/>
                <w:bCs/>
                <w:spacing w:val="16"/>
                <w:szCs w:val="21"/>
              </w:rPr>
              <w:t>查</w:t>
            </w:r>
            <w:r>
              <w:rPr>
                <w:rFonts w:hint="eastAsia" w:ascii="黑体" w:hAnsi="黑体" w:eastAsia="黑体" w:cs="黑体"/>
                <w:bCs/>
                <w:szCs w:val="21"/>
              </w:rPr>
              <w:t>内</w:t>
            </w:r>
            <w:r>
              <w:rPr>
                <w:rFonts w:hint="eastAsia" w:ascii="黑体" w:hAnsi="黑体" w:eastAsia="黑体" w:cs="黑体"/>
                <w:bCs/>
                <w:spacing w:val="-86"/>
                <w:szCs w:val="21"/>
              </w:rPr>
              <w:t xml:space="preserve"> </w:t>
            </w:r>
            <w:r>
              <w:rPr>
                <w:rFonts w:hint="eastAsia" w:ascii="黑体" w:hAnsi="黑体" w:eastAsia="黑体" w:cs="黑体"/>
                <w:bCs/>
                <w:szCs w:val="21"/>
              </w:rPr>
              <w:t>容</w:t>
            </w:r>
          </w:p>
        </w:tc>
        <w:tc>
          <w:tcPr>
            <w:tcW w:w="626" w:type="pct"/>
            <w:vAlign w:val="center"/>
          </w:tcPr>
          <w:p w14:paraId="5A9FA2FA">
            <w:pPr>
              <w:adjustRightInd w:val="0"/>
              <w:snapToGrid w:val="0"/>
              <w:spacing w:line="560" w:lineRule="exact"/>
              <w:ind w:left="-171"/>
              <w:jc w:val="center"/>
              <w:rPr>
                <w:rFonts w:hint="eastAsia" w:ascii="黑体" w:hAnsi="黑体" w:eastAsia="黑体" w:cs="黑体"/>
                <w:bCs/>
                <w:sz w:val="24"/>
                <w:szCs w:val="21"/>
              </w:rPr>
            </w:pPr>
            <w:r>
              <w:rPr>
                <w:rFonts w:hint="eastAsia" w:ascii="黑体" w:hAnsi="黑体" w:eastAsia="黑体" w:cs="黑体"/>
                <w:bCs/>
                <w:sz w:val="24"/>
                <w:szCs w:val="21"/>
              </w:rPr>
              <w:t>自查结论</w:t>
            </w:r>
          </w:p>
        </w:tc>
        <w:tc>
          <w:tcPr>
            <w:tcW w:w="702" w:type="pct"/>
            <w:vAlign w:val="center"/>
          </w:tcPr>
          <w:p w14:paraId="393C4902">
            <w:pPr>
              <w:adjustRightInd w:val="0"/>
              <w:snapToGrid w:val="0"/>
              <w:spacing w:line="560" w:lineRule="exact"/>
              <w:ind w:left="-171"/>
              <w:jc w:val="center"/>
              <w:rPr>
                <w:rFonts w:hint="eastAsia" w:ascii="黑体" w:hAnsi="黑体" w:eastAsia="黑体" w:cs="黑体"/>
                <w:bCs/>
                <w:sz w:val="24"/>
                <w:szCs w:val="21"/>
              </w:rPr>
            </w:pPr>
            <w:r>
              <w:rPr>
                <w:rFonts w:hint="eastAsia" w:ascii="黑体" w:hAnsi="黑体" w:eastAsia="黑体" w:cs="黑体"/>
                <w:bCs/>
                <w:sz w:val="24"/>
                <w:szCs w:val="21"/>
              </w:rPr>
              <w:t>证明资料</w:t>
            </w:r>
          </w:p>
        </w:tc>
      </w:tr>
      <w:tr w14:paraId="661D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Align w:val="center"/>
          </w:tcPr>
          <w:p w14:paraId="480D5649">
            <w:pPr>
              <w:adjustRightInd w:val="0"/>
              <w:snapToGrid w:val="0"/>
              <w:spacing w:line="5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1</w:t>
            </w:r>
          </w:p>
        </w:tc>
        <w:tc>
          <w:tcPr>
            <w:tcW w:w="3054" w:type="pct"/>
            <w:vAlign w:val="center"/>
          </w:tcPr>
          <w:p w14:paraId="42B3FB05">
            <w:pPr>
              <w:pStyle w:val="54"/>
              <w:widowControl w:val="0"/>
              <w:adjustRightInd w:val="0"/>
              <w:snapToGrid w:val="0"/>
              <w:spacing w:line="400" w:lineRule="exact"/>
              <w:jc w:val="both"/>
              <w:rPr>
                <w:rFonts w:ascii="仿宋_GB2312" w:hAnsi="仿宋_GB2312" w:eastAsia="仿宋_GB2312" w:cs="仿宋_GB2312"/>
                <w:szCs w:val="21"/>
              </w:rPr>
            </w:pPr>
            <w:r>
              <w:rPr>
                <w:rFonts w:hint="eastAsia" w:ascii="仿宋_GB2312" w:hAnsi="仿宋_GB2312" w:eastAsia="仿宋_GB2312" w:cs="仿宋_GB2312"/>
                <w:spacing w:val="16"/>
                <w:szCs w:val="21"/>
              </w:rPr>
              <w:t>供应商</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已</w:t>
            </w:r>
            <w:r>
              <w:rPr>
                <w:rFonts w:hint="eastAsia" w:ascii="仿宋_GB2312" w:hAnsi="仿宋_GB2312" w:eastAsia="仿宋_GB2312" w:cs="仿宋_GB2312"/>
                <w:szCs w:val="21"/>
              </w:rPr>
              <w:t>提</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6"/>
                <w:szCs w:val="21"/>
              </w:rPr>
              <w:t>交</w:t>
            </w:r>
            <w:r>
              <w:rPr>
                <w:rFonts w:hint="eastAsia" w:ascii="仿宋_GB2312" w:hAnsi="仿宋_GB2312" w:eastAsia="仿宋_GB2312" w:cs="仿宋_GB2312"/>
                <w:spacing w:val="16"/>
                <w:szCs w:val="21"/>
              </w:rPr>
              <w:t>《</w:t>
            </w:r>
            <w:r>
              <w:rPr>
                <w:rFonts w:hint="eastAsia" w:ascii="仿宋_GB2312" w:hAnsi="仿宋_GB2312" w:eastAsia="仿宋_GB2312" w:cs="仿宋_GB2312"/>
                <w:szCs w:val="21"/>
              </w:rPr>
              <w:t>应</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选</w:t>
            </w:r>
            <w:r>
              <w:rPr>
                <w:rFonts w:hint="eastAsia" w:ascii="仿宋_GB2312" w:hAnsi="仿宋_GB2312" w:eastAsia="仿宋_GB2312" w:cs="仿宋_GB2312"/>
                <w:szCs w:val="21"/>
              </w:rPr>
              <w:t>人</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的资</w:t>
            </w:r>
            <w:r>
              <w:rPr>
                <w:rFonts w:hint="eastAsia" w:ascii="仿宋_GB2312" w:hAnsi="仿宋_GB2312" w:eastAsia="仿宋_GB2312" w:cs="仿宋_GB2312"/>
                <w:szCs w:val="21"/>
              </w:rPr>
              <w:t>格</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声</w:t>
            </w:r>
            <w:r>
              <w:rPr>
                <w:rFonts w:hint="eastAsia" w:ascii="仿宋_GB2312" w:hAnsi="仿宋_GB2312" w:eastAsia="仿宋_GB2312" w:cs="仿宋_GB2312"/>
                <w:szCs w:val="21"/>
              </w:rPr>
              <w:t>明</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6"/>
                <w:szCs w:val="21"/>
              </w:rPr>
              <w:t>》、</w:t>
            </w:r>
            <w:r>
              <w:rPr>
                <w:rFonts w:hint="eastAsia" w:ascii="仿宋_GB2312" w:hAnsi="仿宋_GB2312" w:eastAsia="仿宋_GB2312" w:cs="仿宋_GB2312"/>
                <w:spacing w:val="16"/>
                <w:szCs w:val="21"/>
              </w:rPr>
              <w:t>法</w:t>
            </w:r>
            <w:r>
              <w:rPr>
                <w:rFonts w:hint="eastAsia" w:ascii="仿宋_GB2312" w:hAnsi="仿宋_GB2312" w:eastAsia="仿宋_GB2312" w:cs="仿宋_GB2312"/>
                <w:szCs w:val="21"/>
              </w:rPr>
              <w:t>定</w:t>
            </w:r>
          </w:p>
          <w:p w14:paraId="0DB1DA1E">
            <w:pPr>
              <w:pStyle w:val="54"/>
              <w:widowControl w:val="0"/>
              <w:adjustRightInd w:val="0"/>
              <w:snapToGrid w:val="0"/>
              <w:spacing w:line="400" w:lineRule="exact"/>
              <w:jc w:val="both"/>
              <w:rPr>
                <w:rFonts w:ascii="仿宋_GB2312" w:hAnsi="仿宋_GB2312" w:eastAsia="仿宋_GB2312" w:cs="仿宋_GB2312"/>
                <w:szCs w:val="21"/>
              </w:rPr>
            </w:pPr>
            <w:r>
              <w:rPr>
                <w:rFonts w:hint="eastAsia" w:ascii="仿宋_GB2312" w:hAnsi="仿宋_GB2312" w:eastAsia="仿宋_GB2312" w:cs="仿宋_GB2312"/>
                <w:spacing w:val="16"/>
                <w:szCs w:val="21"/>
              </w:rPr>
              <w:t>代表人</w:t>
            </w:r>
            <w:r>
              <w:rPr>
                <w:rFonts w:hint="eastAsia" w:ascii="仿宋_GB2312" w:hAnsi="仿宋_GB2312" w:eastAsia="仿宋_GB2312" w:cs="仿宋_GB2312"/>
                <w:spacing w:val="12"/>
                <w:szCs w:val="21"/>
              </w:rPr>
              <w:t>/</w:t>
            </w:r>
            <w:r>
              <w:rPr>
                <w:rFonts w:hint="eastAsia" w:ascii="仿宋_GB2312" w:hAnsi="仿宋_GB2312" w:eastAsia="仿宋_GB2312" w:cs="仿宋_GB2312"/>
                <w:spacing w:val="16"/>
                <w:szCs w:val="21"/>
              </w:rPr>
              <w:t>负</w:t>
            </w:r>
            <w:r>
              <w:rPr>
                <w:rFonts w:hint="eastAsia" w:ascii="仿宋_GB2312" w:hAnsi="仿宋_GB2312" w:eastAsia="仿宋_GB2312" w:cs="仿宋_GB2312"/>
                <w:szCs w:val="21"/>
              </w:rPr>
              <w:t>责</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人</w:t>
            </w:r>
            <w:r>
              <w:rPr>
                <w:rFonts w:hint="eastAsia" w:ascii="仿宋_GB2312" w:hAnsi="仿宋_GB2312" w:eastAsia="仿宋_GB2312" w:cs="仿宋_GB2312"/>
                <w:szCs w:val="21"/>
              </w:rPr>
              <w:t>《</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法</w:t>
            </w:r>
            <w:r>
              <w:rPr>
                <w:rFonts w:hint="eastAsia" w:ascii="仿宋_GB2312" w:hAnsi="仿宋_GB2312" w:eastAsia="仿宋_GB2312" w:cs="仿宋_GB2312"/>
                <w:szCs w:val="21"/>
              </w:rPr>
              <w:t>定</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zCs w:val="21"/>
              </w:rPr>
              <w:t>代</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表人</w:t>
            </w:r>
            <w:r>
              <w:rPr>
                <w:rFonts w:hint="eastAsia" w:ascii="仿宋_GB2312" w:hAnsi="仿宋_GB2312" w:eastAsia="仿宋_GB2312" w:cs="仿宋_GB2312"/>
                <w:szCs w:val="21"/>
              </w:rPr>
              <w:t>身</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份</w:t>
            </w:r>
            <w:r>
              <w:rPr>
                <w:rFonts w:hint="eastAsia" w:ascii="仿宋_GB2312" w:hAnsi="仿宋_GB2312" w:eastAsia="仿宋_GB2312" w:cs="仿宋_GB2312"/>
                <w:szCs w:val="21"/>
              </w:rPr>
              <w:t>证</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明</w:t>
            </w:r>
            <w:r>
              <w:rPr>
                <w:rFonts w:hint="eastAsia" w:ascii="仿宋_GB2312" w:hAnsi="仿宋_GB2312" w:eastAsia="仿宋_GB2312" w:cs="仿宋_GB2312"/>
                <w:szCs w:val="21"/>
              </w:rPr>
              <w:t>》</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《法</w:t>
            </w:r>
            <w:r>
              <w:rPr>
                <w:rFonts w:hint="eastAsia" w:ascii="仿宋_GB2312" w:hAnsi="仿宋_GB2312" w:eastAsia="仿宋_GB2312" w:cs="仿宋_GB2312"/>
                <w:szCs w:val="21"/>
              </w:rPr>
              <w:t>定</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代</w:t>
            </w:r>
            <w:r>
              <w:rPr>
                <w:rFonts w:hint="eastAsia" w:ascii="仿宋_GB2312" w:hAnsi="仿宋_GB2312" w:eastAsia="仿宋_GB2312" w:cs="仿宋_GB2312"/>
                <w:szCs w:val="21"/>
              </w:rPr>
              <w:t>表</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人</w:t>
            </w:r>
            <w:r>
              <w:rPr>
                <w:rFonts w:hint="eastAsia" w:ascii="仿宋_GB2312" w:hAnsi="仿宋_GB2312" w:eastAsia="仿宋_GB2312" w:cs="仿宋_GB2312"/>
                <w:szCs w:val="21"/>
              </w:rPr>
              <w:t>授</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权</w:t>
            </w:r>
            <w:r>
              <w:rPr>
                <w:rFonts w:hint="eastAsia" w:ascii="仿宋_GB2312" w:hAnsi="仿宋_GB2312" w:eastAsia="仿宋_GB2312" w:cs="仿宋_GB2312"/>
                <w:szCs w:val="21"/>
              </w:rPr>
              <w:t>书</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zCs w:val="21"/>
              </w:rPr>
              <w:t>》</w:t>
            </w:r>
            <w:r>
              <w:rPr>
                <w:rFonts w:hint="eastAsia" w:ascii="仿宋_GB2312" w:hAnsi="仿宋_GB2312" w:eastAsia="仿宋_GB2312" w:cs="仿宋_GB2312"/>
                <w:spacing w:val="16"/>
                <w:szCs w:val="21"/>
              </w:rPr>
              <w:t>（</w:t>
            </w:r>
            <w:r>
              <w:rPr>
                <w:rFonts w:hint="eastAsia" w:ascii="仿宋_GB2312" w:hAnsi="仿宋_GB2312" w:eastAsia="仿宋_GB2312" w:cs="仿宋_GB2312"/>
                <w:szCs w:val="21"/>
              </w:rPr>
              <w:t>如</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zCs w:val="21"/>
              </w:rPr>
              <w:t>有</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9"/>
                <w:szCs w:val="21"/>
              </w:rPr>
              <w:t>）</w:t>
            </w:r>
            <w:r>
              <w:rPr>
                <w:rFonts w:hint="eastAsia" w:ascii="仿宋_GB2312" w:hAnsi="仿宋_GB2312" w:eastAsia="仿宋_GB2312" w:cs="仿宋_GB2312"/>
                <w:spacing w:val="6"/>
                <w:szCs w:val="21"/>
              </w:rPr>
              <w:t>，</w:t>
            </w:r>
            <w:r>
              <w:rPr>
                <w:rFonts w:hint="eastAsia" w:ascii="仿宋_GB2312" w:hAnsi="仿宋_GB2312" w:eastAsia="仿宋_GB2312" w:cs="仿宋_GB2312"/>
                <w:szCs w:val="21"/>
              </w:rPr>
              <w:t>并</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按</w:t>
            </w:r>
            <w:r>
              <w:rPr>
                <w:rFonts w:hint="eastAsia" w:ascii="仿宋_GB2312" w:hAnsi="仿宋_GB2312" w:eastAsia="仿宋_GB2312" w:cs="仿宋_GB2312"/>
                <w:szCs w:val="21"/>
              </w:rPr>
              <w:t>对</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zCs w:val="21"/>
              </w:rPr>
              <w:t xml:space="preserve">应 </w:t>
            </w:r>
            <w:r>
              <w:rPr>
                <w:rFonts w:hint="eastAsia" w:ascii="仿宋_GB2312" w:hAnsi="仿宋_GB2312" w:eastAsia="仿宋_GB2312" w:cs="仿宋_GB2312"/>
                <w:spacing w:val="16"/>
                <w:szCs w:val="21"/>
              </w:rPr>
              <w:t>格式</w:t>
            </w:r>
            <w:r>
              <w:rPr>
                <w:rFonts w:hint="eastAsia" w:ascii="仿宋_GB2312" w:hAnsi="仿宋_GB2312" w:eastAsia="仿宋_GB2312" w:cs="仿宋_GB2312"/>
                <w:szCs w:val="21"/>
              </w:rPr>
              <w:t>文</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件</w:t>
            </w:r>
            <w:r>
              <w:rPr>
                <w:rFonts w:hint="eastAsia" w:ascii="仿宋_GB2312" w:hAnsi="仿宋_GB2312" w:eastAsia="仿宋_GB2312" w:cs="仿宋_GB2312"/>
                <w:szCs w:val="21"/>
              </w:rPr>
              <w:t>签</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署</w:t>
            </w:r>
            <w:r>
              <w:rPr>
                <w:rFonts w:hint="eastAsia" w:ascii="仿宋_GB2312" w:hAnsi="仿宋_GB2312" w:eastAsia="仿宋_GB2312" w:cs="仿宋_GB2312"/>
                <w:szCs w:val="21"/>
              </w:rPr>
              <w:t>、</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pacing w:val="16"/>
                <w:szCs w:val="21"/>
              </w:rPr>
              <w:t>盖</w:t>
            </w:r>
            <w:r>
              <w:rPr>
                <w:rFonts w:hint="eastAsia" w:ascii="仿宋_GB2312" w:hAnsi="仿宋_GB2312" w:eastAsia="仿宋_GB2312" w:cs="仿宋_GB2312"/>
                <w:szCs w:val="21"/>
              </w:rPr>
              <w:t>章</w:t>
            </w:r>
            <w:r>
              <w:rPr>
                <w:rFonts w:hint="eastAsia" w:ascii="仿宋_GB2312" w:hAnsi="仿宋_GB2312" w:eastAsia="仿宋_GB2312" w:cs="仿宋_GB2312"/>
                <w:spacing w:val="-86"/>
                <w:szCs w:val="21"/>
              </w:rPr>
              <w:t xml:space="preserve"> </w:t>
            </w:r>
            <w:r>
              <w:rPr>
                <w:rFonts w:hint="eastAsia" w:ascii="仿宋_GB2312" w:hAnsi="仿宋_GB2312" w:eastAsia="仿宋_GB2312" w:cs="仿宋_GB2312"/>
                <w:szCs w:val="21"/>
              </w:rPr>
              <w:t>。</w:t>
            </w:r>
          </w:p>
        </w:tc>
        <w:tc>
          <w:tcPr>
            <w:tcW w:w="626" w:type="pct"/>
            <w:vAlign w:val="center"/>
          </w:tcPr>
          <w:p w14:paraId="7B096891">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□通过</w:t>
            </w:r>
          </w:p>
          <w:p w14:paraId="32FD814E">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□不通过</w:t>
            </w:r>
          </w:p>
        </w:tc>
        <w:tc>
          <w:tcPr>
            <w:tcW w:w="702" w:type="pct"/>
            <w:vAlign w:val="center"/>
          </w:tcPr>
          <w:p w14:paraId="42566647">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见响应文件</w:t>
            </w:r>
          </w:p>
          <w:p w14:paraId="079E7C93">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第（）页</w:t>
            </w:r>
          </w:p>
        </w:tc>
      </w:tr>
      <w:tr w14:paraId="0D8B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Align w:val="center"/>
          </w:tcPr>
          <w:p w14:paraId="20FBA50C">
            <w:pPr>
              <w:adjustRightInd w:val="0"/>
              <w:snapToGrid w:val="0"/>
              <w:spacing w:line="5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2</w:t>
            </w:r>
          </w:p>
        </w:tc>
        <w:tc>
          <w:tcPr>
            <w:tcW w:w="3054" w:type="pct"/>
            <w:vAlign w:val="center"/>
          </w:tcPr>
          <w:p w14:paraId="70F78D01">
            <w:pPr>
              <w:adjustRightInd w:val="0"/>
              <w:snapToGrid w:val="0"/>
              <w:spacing w:line="560" w:lineRule="exact"/>
              <w:rPr>
                <w:rFonts w:ascii="仿宋_GB2312" w:hAnsi="仿宋_GB2312" w:eastAsia="仿宋_GB2312" w:cs="仿宋_GB2312"/>
                <w:sz w:val="24"/>
                <w:szCs w:val="21"/>
              </w:rPr>
            </w:pPr>
            <w:r>
              <w:rPr>
                <w:rFonts w:hint="eastAsia" w:ascii="仿宋_GB2312" w:hAnsi="仿宋_GB2312" w:eastAsia="仿宋_GB2312" w:cs="仿宋_GB2312"/>
                <w:sz w:val="24"/>
                <w:szCs w:val="21"/>
              </w:rPr>
              <w:t>响应文件完整， 内容无重大错漏。</w:t>
            </w:r>
          </w:p>
        </w:tc>
        <w:tc>
          <w:tcPr>
            <w:tcW w:w="626" w:type="pct"/>
            <w:vAlign w:val="center"/>
          </w:tcPr>
          <w:p w14:paraId="63E962C9">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□通过</w:t>
            </w:r>
          </w:p>
          <w:p w14:paraId="0B7FA9F1">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□不通过</w:t>
            </w:r>
          </w:p>
        </w:tc>
        <w:tc>
          <w:tcPr>
            <w:tcW w:w="702" w:type="pct"/>
            <w:vAlign w:val="center"/>
          </w:tcPr>
          <w:p w14:paraId="3BA72BC3">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见响应文件</w:t>
            </w:r>
          </w:p>
          <w:p w14:paraId="1746ADEF">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第（）页</w:t>
            </w:r>
          </w:p>
        </w:tc>
      </w:tr>
      <w:tr w14:paraId="5010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Align w:val="center"/>
          </w:tcPr>
          <w:p w14:paraId="3A94D5F5">
            <w:pPr>
              <w:adjustRightInd w:val="0"/>
              <w:snapToGrid w:val="0"/>
              <w:spacing w:line="5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3</w:t>
            </w:r>
          </w:p>
        </w:tc>
        <w:tc>
          <w:tcPr>
            <w:tcW w:w="3054" w:type="pct"/>
            <w:vAlign w:val="center"/>
          </w:tcPr>
          <w:p w14:paraId="7AE0F9DB">
            <w:pPr>
              <w:adjustRightInd w:val="0"/>
              <w:snapToGrid w:val="0"/>
              <w:spacing w:line="560" w:lineRule="exact"/>
              <w:rPr>
                <w:rFonts w:ascii="仿宋_GB2312" w:hAnsi="仿宋_GB2312" w:eastAsia="仿宋_GB2312" w:cs="仿宋_GB2312"/>
                <w:sz w:val="24"/>
                <w:szCs w:val="21"/>
              </w:rPr>
            </w:pPr>
            <w:r>
              <w:rPr>
                <w:rFonts w:hint="eastAsia" w:ascii="仿宋_GB2312" w:hAnsi="仿宋_GB2312" w:eastAsia="仿宋_GB2312" w:cs="仿宋_GB2312"/>
                <w:sz w:val="24"/>
                <w:szCs w:val="21"/>
              </w:rPr>
              <w:t>对★采购需求响应承诺函</w:t>
            </w:r>
          </w:p>
        </w:tc>
        <w:tc>
          <w:tcPr>
            <w:tcW w:w="626" w:type="pct"/>
            <w:vAlign w:val="center"/>
          </w:tcPr>
          <w:p w14:paraId="23DE4F4E">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□通过</w:t>
            </w:r>
          </w:p>
          <w:p w14:paraId="229529D8">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□不通过</w:t>
            </w:r>
          </w:p>
        </w:tc>
        <w:tc>
          <w:tcPr>
            <w:tcW w:w="702" w:type="pct"/>
            <w:vAlign w:val="center"/>
          </w:tcPr>
          <w:p w14:paraId="4F731A63">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见响应文件</w:t>
            </w:r>
          </w:p>
          <w:p w14:paraId="0DC8166B">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第（）页</w:t>
            </w:r>
          </w:p>
        </w:tc>
      </w:tr>
      <w:tr w14:paraId="30E3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Align w:val="center"/>
          </w:tcPr>
          <w:p w14:paraId="2DCF4E3D">
            <w:pPr>
              <w:adjustRightInd w:val="0"/>
              <w:snapToGrid w:val="0"/>
              <w:spacing w:line="56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4</w:t>
            </w:r>
          </w:p>
        </w:tc>
        <w:tc>
          <w:tcPr>
            <w:tcW w:w="3054" w:type="pct"/>
            <w:vAlign w:val="center"/>
          </w:tcPr>
          <w:p w14:paraId="04F935CF">
            <w:pPr>
              <w:adjustRightInd w:val="0"/>
              <w:snapToGrid w:val="0"/>
              <w:spacing w:line="560" w:lineRule="exact"/>
              <w:rPr>
                <w:rFonts w:ascii="仿宋_GB2312" w:hAnsi="仿宋_GB2312" w:eastAsia="仿宋_GB2312" w:cs="仿宋_GB2312"/>
                <w:sz w:val="24"/>
                <w:szCs w:val="21"/>
              </w:rPr>
            </w:pPr>
            <w:r>
              <w:rPr>
                <w:rFonts w:hint="eastAsia" w:ascii="仿宋_GB2312" w:hAnsi="仿宋_GB2312" w:eastAsia="仿宋_GB2312" w:cs="仿宋_GB2312"/>
                <w:sz w:val="24"/>
                <w:szCs w:val="21"/>
              </w:rPr>
              <w:t>按采购人要求进行报价</w:t>
            </w:r>
          </w:p>
        </w:tc>
        <w:tc>
          <w:tcPr>
            <w:tcW w:w="626" w:type="pct"/>
            <w:vAlign w:val="center"/>
          </w:tcPr>
          <w:p w14:paraId="6791E9CA">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□通过</w:t>
            </w:r>
          </w:p>
          <w:p w14:paraId="63C2CEEF">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□不通过</w:t>
            </w:r>
          </w:p>
        </w:tc>
        <w:tc>
          <w:tcPr>
            <w:tcW w:w="702" w:type="pct"/>
            <w:vAlign w:val="center"/>
          </w:tcPr>
          <w:p w14:paraId="43899DE3">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见响应文件</w:t>
            </w:r>
          </w:p>
          <w:p w14:paraId="117AD8FF">
            <w:pPr>
              <w:adjustRightInd w:val="0"/>
              <w:snapToGrid w:val="0"/>
              <w:spacing w:line="400" w:lineRule="exact"/>
              <w:ind w:left="-171"/>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第（）页</w:t>
            </w:r>
          </w:p>
        </w:tc>
      </w:tr>
    </w:tbl>
    <w:p w14:paraId="1EC1BE00">
      <w:pPr>
        <w:adjustRightInd w:val="0"/>
        <w:snapToGrid w:val="0"/>
        <w:spacing w:line="560" w:lineRule="exact"/>
        <w:ind w:left="6" w:leftChars="-171" w:hanging="332" w:hangingChars="150"/>
        <w:rPr>
          <w:rFonts w:ascii="仿宋_GB2312" w:hAnsi="仿宋_GB2312" w:eastAsia="仿宋_GB2312" w:cs="仿宋_GB2312"/>
          <w:sz w:val="24"/>
        </w:rPr>
      </w:pPr>
    </w:p>
    <w:p w14:paraId="09A2D966">
      <w:pPr>
        <w:adjustRightInd w:val="0"/>
        <w:snapToGrid w:val="0"/>
        <w:spacing w:line="560" w:lineRule="exact"/>
        <w:rPr>
          <w:rFonts w:ascii="Arial Unicode MS" w:hAnsi="Arial Unicode MS"/>
          <w:sz w:val="24"/>
        </w:rPr>
      </w:pPr>
      <w:r>
        <w:rPr>
          <w:rFonts w:hint="eastAsia" w:ascii="仿宋_GB2312" w:hAnsi="仿宋_GB2312" w:eastAsia="仿宋_GB2312" w:cs="仿宋_GB2312"/>
          <w:sz w:val="24"/>
        </w:rPr>
        <w:t>注：以上材料将作为供应商有效性审核的重要内容之一，供应商必须严格按照其内容及序列要求在响应文件中对应如实提供，对资格性和符合性证明文件的任何缺漏和不符合项</w:t>
      </w:r>
      <w:r>
        <w:rPr>
          <w:rFonts w:hint="eastAsia" w:ascii="仿宋_GB2312" w:hAnsi="仿宋_GB2312" w:eastAsia="仿宋_GB2312" w:cs="仿宋_GB2312"/>
          <w:b/>
          <w:bCs/>
          <w:sz w:val="24"/>
        </w:rPr>
        <w:t>将会直接导致响应文件无效！</w:t>
      </w:r>
      <w:r>
        <w:rPr>
          <w:rFonts w:hint="eastAsia" w:ascii="仿宋_GB2312" w:hAnsi="仿宋_GB2312" w:eastAsia="仿宋_GB2312" w:cs="仿宋_GB2312"/>
          <w:sz w:val="24"/>
        </w:rPr>
        <w:t>供应商根据自查结论在对应的□打“√”。</w:t>
      </w:r>
    </w:p>
    <w:p w14:paraId="477AD7E6">
      <w:pPr>
        <w:pStyle w:val="4"/>
        <w:adjustRightInd w:val="0"/>
        <w:snapToGrid w:val="0"/>
        <w:spacing w:line="560" w:lineRule="exact"/>
        <w:jc w:val="center"/>
        <w:rPr>
          <w:rFonts w:hint="eastAsia" w:ascii="方正小标宋简体" w:hAnsi="方正小标宋简体" w:eastAsia="方正小标宋简体" w:cs="方正小标宋简体"/>
          <w:bCs/>
          <w:kern w:val="44"/>
          <w:sz w:val="32"/>
          <w:szCs w:val="32"/>
        </w:rPr>
      </w:pPr>
      <w:r>
        <w:rPr>
          <w:rFonts w:hint="eastAsia" w:ascii="Arial Unicode MS" w:hAnsi="Arial Unicode MS"/>
          <w:sz w:val="24"/>
          <w:szCs w:val="32"/>
        </w:rPr>
        <w:br w:type="page"/>
      </w:r>
      <w:bookmarkStart w:id="142" w:name="_Toc22940"/>
      <w:bookmarkStart w:id="143" w:name="_Toc237415691"/>
      <w:r>
        <w:rPr>
          <w:rFonts w:hint="eastAsia" w:ascii="方正小标宋简体" w:hAnsi="方正小标宋简体" w:eastAsia="方正小标宋简体" w:cs="方正小标宋简体"/>
          <w:bCs/>
          <w:kern w:val="44"/>
          <w:sz w:val="32"/>
          <w:szCs w:val="32"/>
        </w:rPr>
        <w:t>综合评比指标佐证材料自查表</w:t>
      </w:r>
      <w:bookmarkEnd w:id="142"/>
      <w:bookmarkEnd w:id="143"/>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6090"/>
        <w:gridCol w:w="2594"/>
      </w:tblGrid>
      <w:tr w14:paraId="4E4E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353" w:type="pct"/>
            <w:shd w:val="clear" w:color="auto" w:fill="CCCCCC"/>
            <w:vAlign w:val="center"/>
          </w:tcPr>
          <w:p w14:paraId="4EB97516">
            <w:pPr>
              <w:adjustRightInd w:val="0"/>
              <w:snapToGrid w:val="0"/>
              <w:spacing w:line="560" w:lineRule="exact"/>
              <w:jc w:val="center"/>
              <w:rPr>
                <w:rFonts w:hint="eastAsia" w:ascii="黑体" w:hAnsi="黑体" w:eastAsia="黑体" w:cs="黑体"/>
                <w:bCs/>
                <w:sz w:val="24"/>
                <w:szCs w:val="21"/>
              </w:rPr>
            </w:pPr>
            <w:r>
              <w:rPr>
                <w:rFonts w:hint="eastAsia" w:ascii="黑体" w:hAnsi="黑体" w:eastAsia="黑体" w:cs="黑体"/>
                <w:bCs/>
                <w:sz w:val="24"/>
                <w:szCs w:val="21"/>
              </w:rPr>
              <w:t>序号</w:t>
            </w:r>
          </w:p>
        </w:tc>
        <w:tc>
          <w:tcPr>
            <w:tcW w:w="3259" w:type="pct"/>
            <w:shd w:val="clear" w:color="auto" w:fill="CCCCCC"/>
            <w:vAlign w:val="center"/>
          </w:tcPr>
          <w:p w14:paraId="3BCDA15D">
            <w:pPr>
              <w:adjustRightInd w:val="0"/>
              <w:snapToGrid w:val="0"/>
              <w:spacing w:line="560" w:lineRule="exact"/>
              <w:jc w:val="center"/>
              <w:rPr>
                <w:rFonts w:hint="eastAsia" w:ascii="黑体" w:hAnsi="黑体" w:eastAsia="黑体" w:cs="黑体"/>
                <w:bCs/>
                <w:sz w:val="24"/>
                <w:szCs w:val="21"/>
              </w:rPr>
            </w:pPr>
            <w:r>
              <w:rPr>
                <w:rFonts w:hint="eastAsia" w:ascii="黑体" w:hAnsi="黑体" w:eastAsia="黑体" w:cs="黑体"/>
                <w:bCs/>
                <w:sz w:val="24"/>
                <w:szCs w:val="21"/>
              </w:rPr>
              <w:t>评审项</w:t>
            </w:r>
          </w:p>
        </w:tc>
        <w:tc>
          <w:tcPr>
            <w:tcW w:w="1389" w:type="pct"/>
            <w:shd w:val="clear" w:color="auto" w:fill="CCCCCC"/>
            <w:vAlign w:val="center"/>
          </w:tcPr>
          <w:p w14:paraId="5AB4347D">
            <w:pPr>
              <w:adjustRightInd w:val="0"/>
              <w:snapToGrid w:val="0"/>
              <w:spacing w:line="560" w:lineRule="exact"/>
              <w:jc w:val="center"/>
              <w:rPr>
                <w:rFonts w:hint="eastAsia" w:ascii="黑体" w:hAnsi="黑体" w:eastAsia="黑体" w:cs="黑体"/>
                <w:bCs/>
                <w:sz w:val="24"/>
                <w:szCs w:val="21"/>
              </w:rPr>
            </w:pPr>
            <w:r>
              <w:rPr>
                <w:rFonts w:hint="eastAsia" w:ascii="黑体" w:hAnsi="黑体" w:eastAsia="黑体" w:cs="黑体"/>
                <w:bCs/>
                <w:sz w:val="24"/>
                <w:szCs w:val="21"/>
              </w:rPr>
              <w:t>证明文件</w:t>
            </w:r>
          </w:p>
        </w:tc>
      </w:tr>
      <w:tr w14:paraId="6A33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353" w:type="pct"/>
            <w:vAlign w:val="center"/>
          </w:tcPr>
          <w:p w14:paraId="385406F6">
            <w:pPr>
              <w:widowControl/>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kern w:val="0"/>
                <w:sz w:val="24"/>
              </w:rPr>
              <w:t>1</w:t>
            </w:r>
          </w:p>
        </w:tc>
        <w:tc>
          <w:tcPr>
            <w:tcW w:w="3259" w:type="pct"/>
            <w:vAlign w:val="center"/>
          </w:tcPr>
          <w:p w14:paraId="0A9BCBA9">
            <w:pPr>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所投货物对用户需求书中带▲号的重要技术参数的符合性（参照附件《需求响应表》填写。）</w:t>
            </w:r>
          </w:p>
        </w:tc>
        <w:tc>
          <w:tcPr>
            <w:tcW w:w="1389" w:type="pct"/>
            <w:vAlign w:val="center"/>
          </w:tcPr>
          <w:p w14:paraId="15E0C007">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见响应文件（）页</w:t>
            </w:r>
          </w:p>
        </w:tc>
      </w:tr>
      <w:tr w14:paraId="3D2C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353" w:type="pct"/>
            <w:vAlign w:val="center"/>
          </w:tcPr>
          <w:p w14:paraId="5852487E">
            <w:pPr>
              <w:widowControl/>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kern w:val="0"/>
                <w:sz w:val="24"/>
              </w:rPr>
              <w:t>2</w:t>
            </w:r>
          </w:p>
        </w:tc>
        <w:tc>
          <w:tcPr>
            <w:tcW w:w="3259" w:type="pct"/>
            <w:vAlign w:val="center"/>
          </w:tcPr>
          <w:p w14:paraId="67B3E123">
            <w:pPr>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所投货物技术参数及性能与技术参数要求、用户需求书的符合性（参照附件《需求响应表》填写。）</w:t>
            </w:r>
          </w:p>
        </w:tc>
        <w:tc>
          <w:tcPr>
            <w:tcW w:w="1389" w:type="pct"/>
            <w:vAlign w:val="center"/>
          </w:tcPr>
          <w:p w14:paraId="7AD0F3F9">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见响应文件（）页</w:t>
            </w:r>
          </w:p>
        </w:tc>
      </w:tr>
      <w:tr w14:paraId="743D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353" w:type="pct"/>
            <w:vAlign w:val="center"/>
          </w:tcPr>
          <w:p w14:paraId="7013FEF9">
            <w:pPr>
              <w:widowControl/>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kern w:val="0"/>
                <w:sz w:val="24"/>
              </w:rPr>
              <w:t>3</w:t>
            </w:r>
          </w:p>
        </w:tc>
        <w:tc>
          <w:tcPr>
            <w:tcW w:w="3259" w:type="pct"/>
            <w:vAlign w:val="center"/>
          </w:tcPr>
          <w:p w14:paraId="4A2989B2">
            <w:pPr>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质量保证及售后服务</w:t>
            </w:r>
          </w:p>
        </w:tc>
        <w:tc>
          <w:tcPr>
            <w:tcW w:w="1389" w:type="pct"/>
            <w:vAlign w:val="center"/>
          </w:tcPr>
          <w:p w14:paraId="36945997">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见响应文件（）页</w:t>
            </w:r>
          </w:p>
        </w:tc>
      </w:tr>
      <w:tr w14:paraId="7826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353" w:type="pct"/>
            <w:vAlign w:val="center"/>
          </w:tcPr>
          <w:p w14:paraId="01F6D59C">
            <w:pPr>
              <w:widowControl/>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kern w:val="0"/>
                <w:sz w:val="24"/>
              </w:rPr>
              <w:t>4</w:t>
            </w:r>
          </w:p>
        </w:tc>
        <w:tc>
          <w:tcPr>
            <w:tcW w:w="3259" w:type="pct"/>
            <w:vAlign w:val="center"/>
          </w:tcPr>
          <w:p w14:paraId="756D6350">
            <w:pPr>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供应商供货业绩</w:t>
            </w:r>
          </w:p>
        </w:tc>
        <w:tc>
          <w:tcPr>
            <w:tcW w:w="1389" w:type="pct"/>
            <w:vAlign w:val="center"/>
          </w:tcPr>
          <w:p w14:paraId="0087E343">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见响应文件（）页</w:t>
            </w:r>
          </w:p>
        </w:tc>
      </w:tr>
      <w:tr w14:paraId="1A07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353" w:type="pct"/>
            <w:vAlign w:val="center"/>
          </w:tcPr>
          <w:p w14:paraId="6DAAFD40">
            <w:pPr>
              <w:widowControl/>
              <w:adjustRightInd w:val="0"/>
              <w:snapToGrid w:val="0"/>
              <w:spacing w:line="560" w:lineRule="exact"/>
              <w:jc w:val="center"/>
              <w:rPr>
                <w:rFonts w:ascii="仿宋_GB2312" w:hAnsi="仿宋_GB2312" w:eastAsia="仿宋_GB2312" w:cs="仿宋_GB2312"/>
                <w:sz w:val="24"/>
              </w:rPr>
            </w:pPr>
            <w:r>
              <w:rPr>
                <w:rFonts w:hint="eastAsia" w:ascii="仿宋_GB2312" w:hAnsi="仿宋_GB2312" w:eastAsia="仿宋_GB2312" w:cs="仿宋_GB2312"/>
                <w:kern w:val="0"/>
                <w:sz w:val="24"/>
              </w:rPr>
              <w:t>5</w:t>
            </w:r>
          </w:p>
        </w:tc>
        <w:tc>
          <w:tcPr>
            <w:tcW w:w="3259" w:type="pct"/>
            <w:vAlign w:val="center"/>
          </w:tcPr>
          <w:p w14:paraId="53C274C3">
            <w:pPr>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所投产品同品牌同型号货物供货情况</w:t>
            </w:r>
          </w:p>
        </w:tc>
        <w:tc>
          <w:tcPr>
            <w:tcW w:w="1389" w:type="pct"/>
            <w:vAlign w:val="center"/>
          </w:tcPr>
          <w:p w14:paraId="6606480F">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见响应文件（）页</w:t>
            </w:r>
          </w:p>
        </w:tc>
      </w:tr>
      <w:tr w14:paraId="5634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353" w:type="pct"/>
            <w:vAlign w:val="center"/>
          </w:tcPr>
          <w:p w14:paraId="28B5E820">
            <w:pPr>
              <w:widowControl/>
              <w:adjustRightInd w:val="0"/>
              <w:snapToGrid w:val="0"/>
              <w:spacing w:line="56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6</w:t>
            </w:r>
          </w:p>
        </w:tc>
        <w:tc>
          <w:tcPr>
            <w:tcW w:w="3259" w:type="pct"/>
            <w:vAlign w:val="center"/>
          </w:tcPr>
          <w:p w14:paraId="6596EC0A">
            <w:pPr>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响应报价</w:t>
            </w:r>
          </w:p>
        </w:tc>
        <w:tc>
          <w:tcPr>
            <w:tcW w:w="1389" w:type="pct"/>
            <w:vAlign w:val="center"/>
          </w:tcPr>
          <w:p w14:paraId="69EA225B">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见响应文件（）页</w:t>
            </w:r>
          </w:p>
        </w:tc>
      </w:tr>
    </w:tbl>
    <w:p w14:paraId="4A0FE312">
      <w:pPr>
        <w:rPr>
          <w:rFonts w:ascii="Arial Unicode MS" w:hAnsi="Arial Unicode MS"/>
          <w:b/>
          <w:bCs/>
          <w:sz w:val="44"/>
          <w:szCs w:val="44"/>
        </w:rPr>
      </w:pPr>
    </w:p>
    <w:p w14:paraId="5E8711D6">
      <w:pPr>
        <w:rPr>
          <w:rFonts w:ascii="Arial Unicode MS" w:hAnsi="Arial Unicode MS"/>
          <w:b/>
          <w:bCs/>
          <w:sz w:val="44"/>
          <w:szCs w:val="44"/>
        </w:rPr>
      </w:pPr>
    </w:p>
    <w:p w14:paraId="7EC438F2">
      <w:pPr>
        <w:rPr>
          <w:rFonts w:ascii="Arial Unicode MS" w:hAnsi="Arial Unicode MS"/>
          <w:b/>
          <w:bCs/>
          <w:sz w:val="44"/>
          <w:szCs w:val="44"/>
        </w:rPr>
      </w:pPr>
    </w:p>
    <w:p w14:paraId="48C9A5EF">
      <w:pPr>
        <w:rPr>
          <w:rFonts w:ascii="Arial Unicode MS" w:hAnsi="Arial Unicode MS"/>
          <w:b/>
          <w:bCs/>
          <w:sz w:val="44"/>
          <w:szCs w:val="44"/>
        </w:rPr>
      </w:pPr>
    </w:p>
    <w:p w14:paraId="7AEF8BC6">
      <w:pPr>
        <w:rPr>
          <w:rFonts w:ascii="Arial Unicode MS" w:hAnsi="Arial Unicode MS"/>
          <w:b/>
          <w:bCs/>
          <w:sz w:val="44"/>
          <w:szCs w:val="44"/>
        </w:rPr>
      </w:pPr>
    </w:p>
    <w:p w14:paraId="52D235D9">
      <w:pPr>
        <w:rPr>
          <w:rFonts w:ascii="Arial Unicode MS" w:hAnsi="Arial Unicode MS"/>
          <w:b/>
          <w:bCs/>
          <w:sz w:val="44"/>
          <w:szCs w:val="44"/>
        </w:rPr>
      </w:pPr>
    </w:p>
    <w:p w14:paraId="656896AD">
      <w:pPr>
        <w:rPr>
          <w:rFonts w:ascii="Arial Unicode MS" w:hAnsi="Arial Unicode MS"/>
          <w:b/>
          <w:bCs/>
          <w:sz w:val="44"/>
          <w:szCs w:val="44"/>
        </w:rPr>
      </w:pPr>
    </w:p>
    <w:p w14:paraId="78696AAC">
      <w:pPr>
        <w:pStyle w:val="3"/>
        <w:spacing w:line="560" w:lineRule="exact"/>
        <w:rPr>
          <w:rFonts w:hint="eastAsia" w:ascii="方正小标宋简体" w:hAnsi="方正小标宋简体" w:eastAsia="方正小标宋简体" w:cs="方正小标宋简体"/>
          <w:sz w:val="44"/>
          <w:szCs w:val="44"/>
        </w:rPr>
      </w:pPr>
      <w:bookmarkStart w:id="144" w:name="_Toc13157"/>
      <w:bookmarkStart w:id="145" w:name="_Toc237415692"/>
      <w:r>
        <w:rPr>
          <w:rFonts w:hint="eastAsia" w:ascii="方正小标宋简体" w:hAnsi="方正小标宋简体" w:eastAsia="方正小标宋简体" w:cs="方正小标宋简体"/>
          <w:sz w:val="44"/>
          <w:szCs w:val="44"/>
        </w:rPr>
        <w:t>第二项 资格性及符合性文件</w:t>
      </w:r>
      <w:bookmarkEnd w:id="144"/>
      <w:bookmarkEnd w:id="145"/>
    </w:p>
    <w:p w14:paraId="7F2E440A">
      <w:pPr>
        <w:adjustRightInd w:val="0"/>
        <w:snapToGrid w:val="0"/>
        <w:spacing w:line="560" w:lineRule="exact"/>
        <w:rPr>
          <w:rFonts w:ascii="Arial Unicode MS" w:hAnsi="Arial Unicode MS" w:cs="宋体"/>
          <w:b/>
          <w:bCs/>
          <w:sz w:val="44"/>
          <w:szCs w:val="44"/>
        </w:rPr>
      </w:pPr>
    </w:p>
    <w:p w14:paraId="2CF521B4">
      <w:pPr>
        <w:pStyle w:val="4"/>
        <w:jc w:val="center"/>
        <w:rPr>
          <w:rFonts w:ascii="仿宋_GB2312" w:hAnsi="仿宋_GB2312" w:eastAsia="仿宋_GB2312" w:cs="仿宋_GB2312"/>
          <w:b/>
          <w:bCs/>
          <w:sz w:val="24"/>
        </w:rPr>
      </w:pPr>
      <w:bookmarkStart w:id="146" w:name="_Toc13883"/>
      <w:bookmarkStart w:id="147" w:name="_Toc237415693"/>
      <w:r>
        <w:rPr>
          <w:rFonts w:hint="eastAsia" w:ascii="方正公文小标宋" w:hAnsi="方正公文小标宋" w:eastAsia="方正公文小标宋" w:cs="方正公文小标宋"/>
          <w:sz w:val="44"/>
          <w:szCs w:val="44"/>
        </w:rPr>
        <w:t>说明函</w:t>
      </w:r>
      <w:bookmarkEnd w:id="146"/>
      <w:bookmarkEnd w:id="147"/>
    </w:p>
    <w:p w14:paraId="531AC9C9">
      <w:pPr>
        <w:adjustRightInd w:val="0"/>
        <w:snapToGrid w:val="0"/>
        <w:spacing w:line="560" w:lineRule="exact"/>
        <w:rPr>
          <w:rFonts w:ascii="仿宋_GB2312" w:hAnsi="仿宋_GB2312" w:eastAsia="仿宋_GB2312" w:cs="仿宋_GB2312"/>
          <w:b/>
          <w:bCs/>
          <w:sz w:val="24"/>
        </w:rPr>
      </w:pPr>
    </w:p>
    <w:p w14:paraId="45BC043A">
      <w:pPr>
        <w:adjustRightInd w:val="0"/>
        <w:snapToGrid w:val="0"/>
        <w:spacing w:line="560" w:lineRule="exact"/>
      </w:pPr>
      <w:r>
        <w:rPr>
          <w:rFonts w:hint="eastAsia" w:ascii="仿宋_GB2312" w:hAnsi="仿宋_GB2312" w:eastAsia="仿宋_GB2312" w:cs="仿宋_GB2312"/>
          <w:b/>
          <w:bCs/>
          <w:sz w:val="24"/>
        </w:rPr>
        <w:t>致：南方医科大学中西医结合医院</w:t>
      </w:r>
    </w:p>
    <w:p w14:paraId="58FB079A">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根据贵方为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项目（项目编号：）的竞磋文件，（供应商签字代表</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（姓名）、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（职务）经正式授权并代表</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（供应商名称、地址）提交下列文件正本一份和副本四份。</w:t>
      </w:r>
    </w:p>
    <w:p w14:paraId="315F7351">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据此函，签字代表宣布同意如下：</w:t>
      </w:r>
    </w:p>
    <w:p w14:paraId="35D7B222">
      <w:pPr>
        <w:adjustRightInd w:val="0"/>
        <w:snapToGrid w:val="0"/>
        <w:spacing w:line="560" w:lineRule="exact"/>
        <w:ind w:firstLine="607"/>
        <w:rPr>
          <w:rFonts w:ascii="仿宋_GB2312" w:hAnsi="仿宋_GB2312" w:eastAsia="仿宋_GB2312" w:cs="仿宋_GB2312"/>
          <w:sz w:val="24"/>
        </w:rPr>
      </w:pPr>
      <w:r>
        <w:rPr>
          <w:rFonts w:hint="eastAsia" w:ascii="仿宋_GB2312" w:hAnsi="仿宋_GB2312" w:eastAsia="仿宋_GB2312" w:cs="仿宋_GB2312"/>
          <w:sz w:val="24"/>
        </w:rPr>
        <w:t>1.我方将按竞磋文件的规定履行合同责任和义务。</w:t>
      </w:r>
    </w:p>
    <w:p w14:paraId="2ED995AC">
      <w:pPr>
        <w:adjustRightInd w:val="0"/>
        <w:snapToGrid w:val="0"/>
        <w:spacing w:line="560" w:lineRule="exact"/>
        <w:ind w:firstLine="607"/>
        <w:rPr>
          <w:rFonts w:ascii="仿宋_GB2312" w:hAnsi="仿宋_GB2312" w:eastAsia="仿宋_GB2312" w:cs="仿宋_GB2312"/>
          <w:sz w:val="24"/>
        </w:rPr>
      </w:pPr>
      <w:r>
        <w:rPr>
          <w:rFonts w:hint="eastAsia" w:ascii="仿宋_GB2312" w:hAnsi="仿宋_GB2312" w:eastAsia="仿宋_GB2312" w:cs="仿宋_GB2312"/>
          <w:sz w:val="24"/>
        </w:rPr>
        <w:t>2.我方已详细审查全部竞磋文件内容，包括修改文件以及全部参考资料和有关附件。我们完全理解并同意放弃对这方面有不明及误解的权利。</w:t>
      </w:r>
    </w:p>
    <w:p w14:paraId="6C4FC0B9">
      <w:pPr>
        <w:adjustRightInd w:val="0"/>
        <w:snapToGrid w:val="0"/>
        <w:spacing w:line="560" w:lineRule="exact"/>
        <w:ind w:firstLine="607"/>
        <w:rPr>
          <w:rFonts w:ascii="仿宋_GB2312" w:hAnsi="仿宋_GB2312" w:eastAsia="仿宋_GB2312" w:cs="仿宋_GB2312"/>
          <w:sz w:val="24"/>
        </w:rPr>
      </w:pPr>
      <w:r>
        <w:rPr>
          <w:rFonts w:hint="eastAsia" w:ascii="仿宋_GB2312" w:hAnsi="仿宋_GB2312" w:eastAsia="仿宋_GB2312" w:cs="仿宋_GB2312"/>
          <w:sz w:val="24"/>
        </w:rPr>
        <w:t>3.我方承诺在本次参选文件中提供的一切文件，无论是原件还是复印件均为真实和准确的，绝无任何虚假、伪造和夸大的成份，否则，愿承担相应的后果和法律责任。</w:t>
      </w:r>
    </w:p>
    <w:p w14:paraId="4AA15FDC">
      <w:pPr>
        <w:adjustRightInd w:val="0"/>
        <w:snapToGrid w:val="0"/>
        <w:spacing w:line="560" w:lineRule="exact"/>
        <w:ind w:firstLine="607"/>
        <w:rPr>
          <w:rFonts w:ascii="仿宋_GB2312" w:hAnsi="仿宋_GB2312" w:eastAsia="仿宋_GB2312" w:cs="仿宋_GB2312"/>
          <w:sz w:val="24"/>
        </w:rPr>
      </w:pPr>
      <w:r>
        <w:rPr>
          <w:rFonts w:hint="eastAsia" w:ascii="仿宋_GB2312" w:hAnsi="仿宋_GB2312" w:eastAsia="仿宋_GB2312" w:cs="仿宋_GB2312"/>
          <w:sz w:val="24"/>
        </w:rPr>
        <w:t>4.其参选文件有效期为自参选文件递交截止之日起90天内。</w:t>
      </w:r>
    </w:p>
    <w:p w14:paraId="2BE74F11">
      <w:pPr>
        <w:adjustRightInd w:val="0"/>
        <w:snapToGrid w:val="0"/>
        <w:spacing w:line="560" w:lineRule="exact"/>
        <w:ind w:firstLine="607"/>
        <w:rPr>
          <w:rFonts w:ascii="仿宋_GB2312" w:hAnsi="仿宋_GB2312" w:eastAsia="仿宋_GB2312" w:cs="仿宋_GB2312"/>
          <w:sz w:val="24"/>
        </w:rPr>
      </w:pPr>
      <w:r>
        <w:rPr>
          <w:rFonts w:hint="eastAsia" w:ascii="仿宋_GB2312" w:hAnsi="仿宋_GB2312" w:eastAsia="仿宋_GB2312" w:cs="仿宋_GB2312"/>
          <w:sz w:val="24"/>
        </w:rPr>
        <w:t>5.我方同意提供按照贵方可能要求的与其参选有关的一切数据或资料，理解贵方不一定要接受最低的报价或收到的任何参选文件。</w:t>
      </w:r>
    </w:p>
    <w:p w14:paraId="63D11857">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6.与本次参选有关的一切正式往来通讯请寄：</w:t>
      </w:r>
    </w:p>
    <w:p w14:paraId="679FA149">
      <w:pPr>
        <w:adjustRightInd w:val="0"/>
        <w:snapToGrid w:val="0"/>
        <w:spacing w:line="560" w:lineRule="exact"/>
        <w:ind w:right="1041"/>
        <w:rPr>
          <w:rFonts w:ascii="仿宋_GB2312" w:hAnsi="仿宋_GB2312" w:eastAsia="仿宋_GB2312" w:cs="仿宋_GB2312"/>
          <w:sz w:val="24"/>
        </w:rPr>
      </w:pPr>
    </w:p>
    <w:p w14:paraId="71FB6BFF">
      <w:pPr>
        <w:adjustRightInd w:val="0"/>
        <w:snapToGrid w:val="0"/>
        <w:spacing w:line="560" w:lineRule="exact"/>
        <w:ind w:firstLine="420" w:firstLineChars="190"/>
        <w:rPr>
          <w:rFonts w:ascii="仿宋_GB2312" w:hAnsi="仿宋_GB2312" w:eastAsia="仿宋_GB2312" w:cs="仿宋_GB2312"/>
          <w:sz w:val="24"/>
        </w:rPr>
      </w:pPr>
      <w:r>
        <w:rPr>
          <w:rFonts w:hint="eastAsia" w:ascii="仿宋_GB2312" w:hAnsi="仿宋_GB2312" w:eastAsia="仿宋_GB2312" w:cs="仿宋_GB2312"/>
          <w:sz w:val="24"/>
        </w:rPr>
        <w:t>单位名称：                  （公章）</w:t>
      </w:r>
    </w:p>
    <w:p w14:paraId="556B06DA">
      <w:pPr>
        <w:adjustRightInd w:val="0"/>
        <w:snapToGrid w:val="0"/>
        <w:spacing w:line="560" w:lineRule="exact"/>
        <w:ind w:firstLine="420" w:firstLineChars="190"/>
        <w:rPr>
          <w:rFonts w:ascii="仿宋_GB2312" w:hAnsi="仿宋_GB2312" w:eastAsia="仿宋_GB2312" w:cs="仿宋_GB2312"/>
          <w:sz w:val="24"/>
        </w:rPr>
      </w:pPr>
      <w:r>
        <w:rPr>
          <w:rFonts w:hint="eastAsia" w:ascii="仿宋_GB2312" w:hAnsi="仿宋_GB2312" w:eastAsia="仿宋_GB2312" w:cs="仿宋_GB2312"/>
          <w:sz w:val="24"/>
        </w:rPr>
        <w:t>地址：                      邮政编码：</w:t>
      </w:r>
    </w:p>
    <w:p w14:paraId="05F2C4B9">
      <w:pPr>
        <w:adjustRightInd w:val="0"/>
        <w:snapToGrid w:val="0"/>
        <w:spacing w:line="560" w:lineRule="exact"/>
        <w:ind w:firstLine="420" w:firstLineChars="190"/>
        <w:rPr>
          <w:rFonts w:ascii="仿宋_GB2312" w:hAnsi="仿宋_GB2312" w:eastAsia="仿宋_GB2312" w:cs="仿宋_GB2312"/>
          <w:sz w:val="24"/>
        </w:rPr>
      </w:pPr>
      <w:r>
        <w:rPr>
          <w:rFonts w:hint="eastAsia" w:ascii="仿宋_GB2312" w:hAnsi="仿宋_GB2312" w:eastAsia="仿宋_GB2312" w:cs="仿宋_GB2312"/>
          <w:sz w:val="24"/>
        </w:rPr>
        <w:t>电话：                      传真：</w:t>
      </w:r>
    </w:p>
    <w:p w14:paraId="4D71936C">
      <w:pPr>
        <w:adjustRightInd w:val="0"/>
        <w:snapToGrid w:val="0"/>
        <w:spacing w:line="560" w:lineRule="exact"/>
        <w:ind w:firstLine="420" w:firstLineChars="190"/>
        <w:rPr>
          <w:rFonts w:ascii="仿宋_GB2312" w:hAnsi="仿宋_GB2312" w:eastAsia="仿宋_GB2312" w:cs="仿宋_GB2312"/>
          <w:sz w:val="24"/>
        </w:rPr>
      </w:pPr>
      <w:r>
        <w:rPr>
          <w:rFonts w:hint="eastAsia" w:ascii="仿宋_GB2312" w:hAnsi="仿宋_GB2312" w:eastAsia="仿宋_GB2312" w:cs="仿宋_GB2312"/>
          <w:sz w:val="24"/>
        </w:rPr>
        <w:t>被授权代表姓名、职务：</w:t>
      </w:r>
    </w:p>
    <w:p w14:paraId="19316224">
      <w:pPr>
        <w:adjustRightInd w:val="0"/>
        <w:snapToGrid w:val="0"/>
        <w:spacing w:line="560" w:lineRule="exact"/>
        <w:ind w:firstLine="420" w:firstLineChars="190"/>
        <w:rPr>
          <w:rFonts w:ascii="仿宋_GB2312" w:hAnsi="仿宋_GB2312" w:eastAsia="仿宋_GB2312" w:cs="仿宋_GB2312"/>
          <w:sz w:val="24"/>
        </w:rPr>
      </w:pPr>
      <w:r>
        <w:rPr>
          <w:rFonts w:hint="eastAsia" w:ascii="仿宋_GB2312" w:hAnsi="仿宋_GB2312" w:eastAsia="仿宋_GB2312" w:cs="仿宋_GB2312"/>
          <w:sz w:val="24"/>
        </w:rPr>
        <w:t>全权代表签字：</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p>
    <w:p w14:paraId="168EB2A2">
      <w:pPr>
        <w:adjustRightInd w:val="0"/>
        <w:snapToGrid w:val="0"/>
        <w:spacing w:line="560" w:lineRule="exact"/>
        <w:ind w:firstLine="420" w:firstLineChars="190"/>
        <w:rPr>
          <w:rFonts w:ascii="仿宋_GB2312" w:hAnsi="仿宋_GB2312" w:eastAsia="仿宋_GB2312" w:cs="仿宋_GB2312"/>
          <w:sz w:val="24"/>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7B67A320">
      <w:pPr>
        <w:pStyle w:val="13"/>
        <w:spacing w:line="560" w:lineRule="exact"/>
        <w:rPr>
          <w:rFonts w:hint="eastAsia" w:ascii="方正公文小标宋" w:hAnsi="方正公文小标宋" w:eastAsia="方正公文小标宋" w:cs="方正公文小标宋"/>
          <w:sz w:val="44"/>
          <w:szCs w:val="44"/>
        </w:rPr>
      </w:pPr>
      <w:r>
        <w:rPr>
          <w:rFonts w:ascii="Arial Unicode MS" w:hAnsi="Arial Unicode MS" w:eastAsia="宋体"/>
        </w:rPr>
        <w:br w:type="page"/>
      </w:r>
      <w:r>
        <w:rPr>
          <w:rFonts w:hint="eastAsia" w:ascii="宋体" w:hAnsi="宋体" w:eastAsia="宋体" w:cs="宋体"/>
          <w:sz w:val="44"/>
          <w:szCs w:val="44"/>
        </w:rPr>
        <w:t>供应商</w:t>
      </w:r>
      <w:r>
        <w:rPr>
          <w:rFonts w:hint="eastAsia" w:ascii="方正公文小标宋" w:hAnsi="方正公文小标宋" w:eastAsia="方正公文小标宋" w:cs="方正公文小标宋"/>
          <w:sz w:val="44"/>
          <w:szCs w:val="44"/>
        </w:rPr>
        <w:t>法定代表人资格证明书</w:t>
      </w:r>
    </w:p>
    <w:p w14:paraId="51E9FE42">
      <w:pPr>
        <w:adjustRightInd w:val="0"/>
        <w:snapToGrid w:val="0"/>
        <w:spacing w:line="560" w:lineRule="exact"/>
        <w:jc w:val="center"/>
        <w:rPr>
          <w:rFonts w:ascii="Arial Unicode MS" w:hAnsi="Arial Unicode MS" w:cs="宋体"/>
          <w:sz w:val="24"/>
        </w:rPr>
      </w:pPr>
    </w:p>
    <w:p w14:paraId="18CBF8BB">
      <w:pPr>
        <w:adjustRightInd w:val="0"/>
        <w:snapToGrid w:val="0"/>
        <w:spacing w:line="560" w:lineRule="exact"/>
        <w:rPr>
          <w:rFonts w:ascii="仿宋_GB2312" w:hAnsi="仿宋_GB2312" w:eastAsia="仿宋_GB2312" w:cs="仿宋_GB2312"/>
          <w:b/>
          <w:bCs/>
          <w:sz w:val="24"/>
        </w:rPr>
      </w:pPr>
      <w:r>
        <w:rPr>
          <w:rFonts w:hint="eastAsia" w:ascii="仿宋_GB2312" w:hAnsi="仿宋_GB2312" w:eastAsia="仿宋_GB2312" w:cs="仿宋_GB2312"/>
          <w:b/>
          <w:bCs/>
          <w:sz w:val="24"/>
        </w:rPr>
        <w:t>致：南方医科大学中西医结合医院</w:t>
      </w:r>
    </w:p>
    <w:p w14:paraId="6411CDBC">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同志，现任我单位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职务，为法定代表人，特此证明。</w:t>
      </w:r>
    </w:p>
    <w:p w14:paraId="1A0EA128">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签发日期：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单位：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（盖章）</w:t>
      </w:r>
    </w:p>
    <w:p w14:paraId="3E4938AC">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附：</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4"/>
        <w:gridCol w:w="4590"/>
      </w:tblGrid>
      <w:tr w14:paraId="3A6F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4" w:type="pct"/>
            <w:tcBorders>
              <w:top w:val="single" w:color="auto" w:sz="4" w:space="0"/>
              <w:left w:val="single" w:color="auto" w:sz="4" w:space="0"/>
              <w:bottom w:val="single" w:color="auto" w:sz="4" w:space="0"/>
              <w:right w:val="single" w:color="auto" w:sz="4" w:space="0"/>
            </w:tcBorders>
            <w:vAlign w:val="center"/>
          </w:tcPr>
          <w:p w14:paraId="1A1000B8">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 xml:space="preserve">身份证号码： </w:t>
            </w:r>
          </w:p>
        </w:tc>
        <w:tc>
          <w:tcPr>
            <w:tcW w:w="2456" w:type="pct"/>
            <w:tcBorders>
              <w:top w:val="single" w:color="auto" w:sz="4" w:space="0"/>
              <w:left w:val="single" w:color="auto" w:sz="4" w:space="0"/>
              <w:bottom w:val="single" w:color="auto" w:sz="4" w:space="0"/>
              <w:right w:val="single" w:color="auto" w:sz="4" w:space="0"/>
            </w:tcBorders>
            <w:vAlign w:val="center"/>
          </w:tcPr>
          <w:p w14:paraId="72F84B56">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tc>
      </w:tr>
      <w:tr w14:paraId="2EEF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4" w:type="pct"/>
            <w:tcBorders>
              <w:top w:val="single" w:color="auto" w:sz="4" w:space="0"/>
              <w:left w:val="single" w:color="auto" w:sz="4" w:space="0"/>
              <w:bottom w:val="single" w:color="auto" w:sz="4" w:space="0"/>
              <w:right w:val="single" w:color="auto" w:sz="4" w:space="0"/>
            </w:tcBorders>
            <w:vAlign w:val="center"/>
          </w:tcPr>
          <w:p w14:paraId="544A0401">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代表人性别：</w:t>
            </w:r>
          </w:p>
        </w:tc>
        <w:tc>
          <w:tcPr>
            <w:tcW w:w="2456" w:type="pct"/>
            <w:tcBorders>
              <w:top w:val="single" w:color="auto" w:sz="4" w:space="0"/>
              <w:left w:val="single" w:color="auto" w:sz="4" w:space="0"/>
              <w:bottom w:val="single" w:color="auto" w:sz="4" w:space="0"/>
              <w:right w:val="single" w:color="auto" w:sz="4" w:space="0"/>
            </w:tcBorders>
            <w:vAlign w:val="center"/>
          </w:tcPr>
          <w:p w14:paraId="368888A9">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年龄：</w:t>
            </w:r>
          </w:p>
        </w:tc>
      </w:tr>
      <w:tr w14:paraId="1E81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4" w:type="pct"/>
            <w:tcBorders>
              <w:top w:val="single" w:color="auto" w:sz="4" w:space="0"/>
              <w:left w:val="single" w:color="auto" w:sz="4" w:space="0"/>
              <w:bottom w:val="single" w:color="auto" w:sz="4" w:space="0"/>
              <w:right w:val="single" w:color="auto" w:sz="2" w:space="0"/>
            </w:tcBorders>
            <w:vAlign w:val="center"/>
          </w:tcPr>
          <w:p w14:paraId="34A519DB">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营业执照号码：</w:t>
            </w:r>
          </w:p>
        </w:tc>
        <w:tc>
          <w:tcPr>
            <w:tcW w:w="2456" w:type="pct"/>
            <w:tcBorders>
              <w:top w:val="single" w:color="auto" w:sz="4" w:space="0"/>
              <w:left w:val="single" w:color="auto" w:sz="2" w:space="0"/>
              <w:bottom w:val="single" w:color="auto" w:sz="4" w:space="0"/>
              <w:right w:val="single" w:color="auto" w:sz="4" w:space="0"/>
            </w:tcBorders>
            <w:vAlign w:val="center"/>
          </w:tcPr>
          <w:p w14:paraId="3CDDA7F9">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经济性质：</w:t>
            </w:r>
          </w:p>
        </w:tc>
      </w:tr>
    </w:tbl>
    <w:p w14:paraId="736B129A">
      <w:pPr>
        <w:adjustRightInd w:val="0"/>
        <w:snapToGrid w:val="0"/>
        <w:spacing w:line="560" w:lineRule="exact"/>
        <w:rPr>
          <w:rFonts w:ascii="仿宋_GB2312" w:hAnsi="仿宋_GB2312" w:eastAsia="仿宋_GB2312" w:cs="仿宋_GB2312"/>
          <w:sz w:val="24"/>
          <w:szCs w:val="21"/>
        </w:rPr>
      </w:pPr>
    </w:p>
    <w:p w14:paraId="6DB58B7D">
      <w:pPr>
        <w:adjustRightInd w:val="0"/>
        <w:snapToGrid w:val="0"/>
        <w:spacing w:line="560" w:lineRule="exact"/>
        <w:ind w:left="-95" w:leftChars="-50"/>
        <w:rPr>
          <w:rFonts w:ascii="仿宋_GB2312" w:hAnsi="仿宋_GB2312" w:eastAsia="仿宋_GB2312" w:cs="仿宋_GB2312"/>
          <w:sz w:val="24"/>
          <w:szCs w:val="21"/>
        </w:rPr>
      </w:pPr>
      <w:r>
        <w:rPr>
          <w:rFonts w:hint="eastAsia" w:ascii="仿宋_GB2312" w:hAnsi="仿宋_GB2312" w:eastAsia="仿宋_GB2312" w:cs="仿宋_GB2312"/>
          <w:sz w:val="24"/>
          <w:szCs w:val="21"/>
        </w:rPr>
        <w:t>【说 明】1.法定代表人为企业事业单位、国家机关、社会团体的主要行政负责人。</w:t>
      </w:r>
    </w:p>
    <w:p w14:paraId="68B529D4">
      <w:pPr>
        <w:adjustRightInd w:val="0"/>
        <w:snapToGrid w:val="0"/>
        <w:spacing w:line="560" w:lineRule="exact"/>
        <w:ind w:left="-95" w:leftChars="-50"/>
        <w:rPr>
          <w:rFonts w:ascii="仿宋_GB2312" w:hAnsi="仿宋_GB2312" w:eastAsia="仿宋_GB2312" w:cs="仿宋_GB2312"/>
          <w:sz w:val="24"/>
          <w:szCs w:val="21"/>
        </w:rPr>
      </w:pPr>
      <w:r>
        <w:rPr>
          <w:rFonts w:hint="eastAsia" w:ascii="仿宋_GB2312" w:hAnsi="仿宋_GB2312" w:eastAsia="仿宋_GB2312" w:cs="仿宋_GB2312"/>
          <w:sz w:val="24"/>
          <w:szCs w:val="21"/>
        </w:rPr>
        <w:t xml:space="preserve">         2.所填内容必须真实、清楚，不得涂改。</w:t>
      </w:r>
    </w:p>
    <w:p w14:paraId="091287C1">
      <w:pPr>
        <w:adjustRightInd w:val="0"/>
        <w:snapToGrid w:val="0"/>
        <w:spacing w:line="560" w:lineRule="exact"/>
        <w:ind w:left="-95" w:leftChars="-50" w:firstLine="995" w:firstLineChars="450"/>
        <w:rPr>
          <w:rFonts w:ascii="仿宋_GB2312" w:hAnsi="仿宋_GB2312" w:eastAsia="仿宋_GB2312" w:cs="仿宋_GB2312"/>
          <w:sz w:val="24"/>
          <w:szCs w:val="21"/>
        </w:rPr>
      </w:pPr>
      <w:r>
        <w:rPr>
          <w:rFonts w:hint="eastAsia" w:ascii="仿宋_GB2312" w:hAnsi="仿宋_GB2312" w:eastAsia="仿宋_GB2312" w:cs="仿宋_GB2312"/>
          <w:sz w:val="24"/>
          <w:szCs w:val="21"/>
        </w:rPr>
        <w:t>3.为避免废标，请供应商务必提供本附件。</w:t>
      </w:r>
    </w:p>
    <w:p w14:paraId="26EEB382">
      <w:pPr>
        <w:adjustRightInd w:val="0"/>
        <w:snapToGrid w:val="0"/>
        <w:spacing w:line="560" w:lineRule="exact"/>
        <w:rPr>
          <w:rFonts w:ascii="仿宋_GB2312" w:hAnsi="仿宋_GB2312" w:eastAsia="仿宋_GB2312" w:cs="仿宋_GB2312"/>
          <w:bCs/>
          <w:sz w:val="24"/>
        </w:rPr>
      </w:pPr>
      <w:r>
        <w:rPr>
          <w:rFonts w:hint="eastAsia" w:ascii="仿宋_GB2312" w:hAnsi="仿宋_GB2312" w:eastAsia="仿宋_GB2312" w:cs="仿宋_GB2312"/>
          <w:sz w:val="24"/>
        </w:rPr>
        <mc:AlternateContent>
          <mc:Choice Requires="wps">
            <w:drawing>
              <wp:anchor distT="0" distB="0" distL="114300" distR="114300" simplePos="0" relativeHeight="251659264" behindDoc="0" locked="0" layoutInCell="1" allowOverlap="1">
                <wp:simplePos x="0" y="0"/>
                <wp:positionH relativeFrom="column">
                  <wp:posOffset>1257300</wp:posOffset>
                </wp:positionH>
                <wp:positionV relativeFrom="paragraph">
                  <wp:posOffset>94615</wp:posOffset>
                </wp:positionV>
                <wp:extent cx="2790825" cy="1982470"/>
                <wp:effectExtent l="5080" t="13970" r="13970" b="13335"/>
                <wp:wrapNone/>
                <wp:docPr id="755846769" name="AutoShape 5"/>
                <wp:cNvGraphicFramePr/>
                <a:graphic xmlns:a="http://schemas.openxmlformats.org/drawingml/2006/main">
                  <a:graphicData uri="http://schemas.microsoft.com/office/word/2010/wordprocessingShape">
                    <wps:wsp>
                      <wps:cNvSpPr>
                        <a:spLocks noChangeArrowheads="1"/>
                      </wps:cNvSpPr>
                      <wps:spPr bwMode="auto">
                        <a:xfrm>
                          <a:off x="0" y="0"/>
                          <a:ext cx="2790825" cy="1982470"/>
                        </a:xfrm>
                        <a:prstGeom prst="flowChartAlternateProcess">
                          <a:avLst/>
                        </a:prstGeom>
                        <a:solidFill>
                          <a:srgbClr val="FFFFFF"/>
                        </a:solidFill>
                        <a:ln w="9525" cmpd="sng">
                          <a:solidFill>
                            <a:srgbClr val="000000"/>
                          </a:solidFill>
                          <a:miter lim="800000"/>
                        </a:ln>
                      </wps:spPr>
                      <wps:txbx>
                        <w:txbxContent>
                          <w:p w14:paraId="3DD337D3">
                            <w:pPr>
                              <w:jc w:val="center"/>
                              <w:rPr>
                                <w:rFonts w:hint="eastAsia" w:hAnsi="宋体"/>
                                <w:szCs w:val="21"/>
                              </w:rPr>
                            </w:pPr>
                          </w:p>
                          <w:p w14:paraId="6B11754A">
                            <w:pPr>
                              <w:jc w:val="center"/>
                              <w:rPr>
                                <w:rFonts w:hint="eastAsia" w:hAnsi="宋体"/>
                                <w:szCs w:val="21"/>
                              </w:rPr>
                            </w:pPr>
                          </w:p>
                          <w:p w14:paraId="17CD7758">
                            <w:pPr>
                              <w:jc w:val="center"/>
                              <w:rPr>
                                <w:rFonts w:hint="eastAsia" w:hAnsi="宋体"/>
                                <w:szCs w:val="21"/>
                              </w:rPr>
                            </w:pPr>
                          </w:p>
                          <w:p w14:paraId="40682E54">
                            <w:pPr>
                              <w:jc w:val="center"/>
                              <w:rPr>
                                <w:rFonts w:hint="eastAsia" w:ascii="楷体_GB2312" w:hAnsi="宋体" w:eastAsia="楷体_GB2312"/>
                                <w:szCs w:val="21"/>
                              </w:rPr>
                            </w:pPr>
                          </w:p>
                          <w:p w14:paraId="77C631AA">
                            <w:pPr>
                              <w:jc w:val="center"/>
                              <w:rPr>
                                <w:rFonts w:hint="eastAsia" w:ascii="楷体_GB2312" w:hAnsi="宋体" w:eastAsia="楷体_GB2312"/>
                                <w:szCs w:val="21"/>
                              </w:rPr>
                            </w:pPr>
                          </w:p>
                          <w:p w14:paraId="096C4F35">
                            <w:pPr>
                              <w:jc w:val="center"/>
                              <w:rPr>
                                <w:rFonts w:ascii="楷体_GB2312" w:eastAsia="楷体_GB2312"/>
                                <w:szCs w:val="21"/>
                              </w:rPr>
                            </w:pPr>
                            <w:r>
                              <w:rPr>
                                <w:rFonts w:hint="eastAsia" w:ascii="楷体_GB2312" w:hAnsi="宋体" w:eastAsia="楷体_GB2312"/>
                                <w:szCs w:val="21"/>
                              </w:rPr>
                              <w:t>法定代表人身份证复印件</w:t>
                            </w:r>
                          </w:p>
                        </w:txbxContent>
                      </wps:txbx>
                      <wps:bodyPr rot="0" vert="horz" wrap="square" lIns="91440" tIns="45720" rIns="91440" bIns="45720" anchor="t" anchorCtr="0" upright="1">
                        <a:noAutofit/>
                      </wps:bodyPr>
                    </wps:wsp>
                  </a:graphicData>
                </a:graphic>
              </wp:anchor>
            </w:drawing>
          </mc:Choice>
          <mc:Fallback>
            <w:pict>
              <v:shape id="AutoShape 5" o:spid="_x0000_s1026" o:spt="176" type="#_x0000_t176" style="position:absolute;left:0pt;margin-left:99pt;margin-top:7.45pt;height:156.1pt;width:219.75pt;z-index:251659264;mso-width-relative:page;mso-height-relative:page;" fillcolor="#FFFFFF" filled="t" stroked="t" coordsize="21600,21600" o:gfxdata="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b1Gw3YAAAACgEAAA8AAAAAAAAAAQAg&#10;AAAAIgAAAGRycy9kb3ducmV2LnhtbFBLAQIUABQAAAAIAIdO4kAWzmMLRwIAAKYEAAAOAAAAAAAA&#10;AAEAIAAAACcBAABkcnMvZTJvRG9jLnhtbFBLBQYAAAAABgAGAFkBAADgBQAAAAA=&#10;">
                <v:fill on="t" focussize="0,0"/>
                <v:stroke color="#000000" miterlimit="8" joinstyle="miter"/>
                <v:imagedata o:title=""/>
                <o:lock v:ext="edit" aspectratio="f"/>
                <v:textbox>
                  <w:txbxContent>
                    <w:p w14:paraId="3DD337D3">
                      <w:pPr>
                        <w:jc w:val="center"/>
                        <w:rPr>
                          <w:rFonts w:hint="eastAsia" w:hAnsi="宋体"/>
                          <w:szCs w:val="21"/>
                        </w:rPr>
                      </w:pPr>
                    </w:p>
                    <w:p w14:paraId="6B11754A">
                      <w:pPr>
                        <w:jc w:val="center"/>
                        <w:rPr>
                          <w:rFonts w:hint="eastAsia" w:hAnsi="宋体"/>
                          <w:szCs w:val="21"/>
                        </w:rPr>
                      </w:pPr>
                    </w:p>
                    <w:p w14:paraId="17CD7758">
                      <w:pPr>
                        <w:jc w:val="center"/>
                        <w:rPr>
                          <w:rFonts w:hint="eastAsia" w:hAnsi="宋体"/>
                          <w:szCs w:val="21"/>
                        </w:rPr>
                      </w:pPr>
                    </w:p>
                    <w:p w14:paraId="40682E54">
                      <w:pPr>
                        <w:jc w:val="center"/>
                        <w:rPr>
                          <w:rFonts w:hint="eastAsia" w:ascii="楷体_GB2312" w:hAnsi="宋体" w:eastAsia="楷体_GB2312"/>
                          <w:szCs w:val="21"/>
                        </w:rPr>
                      </w:pPr>
                    </w:p>
                    <w:p w14:paraId="77C631AA">
                      <w:pPr>
                        <w:jc w:val="center"/>
                        <w:rPr>
                          <w:rFonts w:hint="eastAsia" w:ascii="楷体_GB2312" w:hAnsi="宋体" w:eastAsia="楷体_GB2312"/>
                          <w:szCs w:val="21"/>
                        </w:rPr>
                      </w:pPr>
                    </w:p>
                    <w:p w14:paraId="096C4F35">
                      <w:pPr>
                        <w:jc w:val="center"/>
                        <w:rPr>
                          <w:rFonts w:ascii="楷体_GB2312" w:eastAsia="楷体_GB2312"/>
                          <w:szCs w:val="21"/>
                        </w:rPr>
                      </w:pPr>
                      <w:r>
                        <w:rPr>
                          <w:rFonts w:hint="eastAsia" w:ascii="楷体_GB2312" w:hAnsi="宋体" w:eastAsia="楷体_GB2312"/>
                          <w:szCs w:val="21"/>
                        </w:rPr>
                        <w:t>法定代表人身份证复印件</w:t>
                      </w:r>
                    </w:p>
                  </w:txbxContent>
                </v:textbox>
              </v:shape>
            </w:pict>
          </mc:Fallback>
        </mc:AlternateContent>
      </w:r>
    </w:p>
    <w:p w14:paraId="2E694524">
      <w:pPr>
        <w:adjustRightInd w:val="0"/>
        <w:snapToGrid w:val="0"/>
        <w:spacing w:line="560" w:lineRule="exact"/>
        <w:rPr>
          <w:rFonts w:ascii="仿宋_GB2312" w:hAnsi="仿宋_GB2312" w:eastAsia="仿宋_GB2312" w:cs="仿宋_GB2312"/>
          <w:bCs/>
          <w:sz w:val="24"/>
        </w:rPr>
      </w:pPr>
    </w:p>
    <w:p w14:paraId="178E316D">
      <w:pPr>
        <w:adjustRightInd w:val="0"/>
        <w:snapToGrid w:val="0"/>
        <w:spacing w:line="560" w:lineRule="exact"/>
        <w:rPr>
          <w:rFonts w:ascii="仿宋_GB2312" w:hAnsi="仿宋_GB2312" w:eastAsia="仿宋_GB2312" w:cs="仿宋_GB2312"/>
          <w:bCs/>
          <w:sz w:val="24"/>
        </w:rPr>
      </w:pPr>
    </w:p>
    <w:p w14:paraId="450AD0AE">
      <w:pPr>
        <w:adjustRightInd w:val="0"/>
        <w:snapToGrid w:val="0"/>
        <w:spacing w:line="560" w:lineRule="exact"/>
        <w:rPr>
          <w:rFonts w:ascii="仿宋_GB2312" w:hAnsi="仿宋_GB2312" w:eastAsia="仿宋_GB2312" w:cs="仿宋_GB2312"/>
          <w:bCs/>
          <w:sz w:val="24"/>
        </w:rPr>
      </w:pPr>
    </w:p>
    <w:p w14:paraId="4AF471E3">
      <w:pPr>
        <w:adjustRightInd w:val="0"/>
        <w:snapToGrid w:val="0"/>
        <w:spacing w:line="560" w:lineRule="exact"/>
        <w:rPr>
          <w:rFonts w:ascii="仿宋_GB2312" w:hAnsi="仿宋_GB2312" w:eastAsia="仿宋_GB2312" w:cs="仿宋_GB2312"/>
          <w:bCs/>
          <w:sz w:val="24"/>
        </w:rPr>
      </w:pPr>
    </w:p>
    <w:p w14:paraId="1EC1E0AB">
      <w:pPr>
        <w:adjustRightInd w:val="0"/>
        <w:snapToGrid w:val="0"/>
        <w:spacing w:line="560" w:lineRule="exact"/>
        <w:rPr>
          <w:rFonts w:ascii="仿宋_GB2312" w:hAnsi="仿宋_GB2312" w:eastAsia="仿宋_GB2312" w:cs="仿宋_GB2312"/>
          <w:bCs/>
          <w:sz w:val="24"/>
        </w:rPr>
      </w:pPr>
    </w:p>
    <w:p w14:paraId="0ED4B360">
      <w:pPr>
        <w:adjustRightInd w:val="0"/>
        <w:snapToGrid w:val="0"/>
        <w:spacing w:line="560" w:lineRule="exact"/>
        <w:rPr>
          <w:rFonts w:ascii="仿宋_GB2312" w:hAnsi="仿宋_GB2312" w:eastAsia="仿宋_GB2312" w:cs="仿宋_GB2312"/>
          <w:sz w:val="24"/>
        </w:rPr>
      </w:pPr>
    </w:p>
    <w:p w14:paraId="10F226A5">
      <w:pPr>
        <w:adjustRightInd w:val="0"/>
        <w:snapToGrid w:val="0"/>
        <w:spacing w:line="560" w:lineRule="exact"/>
        <w:ind w:left="2674" w:leftChars="1400" w:firstLine="774" w:firstLineChars="350"/>
        <w:rPr>
          <w:rFonts w:ascii="仿宋_GB2312" w:hAnsi="仿宋_GB2312" w:eastAsia="仿宋_GB2312" w:cs="仿宋_GB2312"/>
          <w:sz w:val="24"/>
        </w:rPr>
      </w:pPr>
      <w:r>
        <w:rPr>
          <w:rFonts w:hint="eastAsia" w:ascii="仿宋_GB2312" w:hAnsi="仿宋_GB2312" w:eastAsia="仿宋_GB2312" w:cs="仿宋_GB2312"/>
          <w:sz w:val="24"/>
        </w:rPr>
        <w:t>供应商法定代表人</w:t>
      </w:r>
      <w:r>
        <w:rPr>
          <w:rFonts w:hint="eastAsia" w:ascii="仿宋_GB2312" w:hAnsi="仿宋_GB2312" w:eastAsia="仿宋_GB2312" w:cs="仿宋_GB2312"/>
          <w:sz w:val="24"/>
          <w:szCs w:val="21"/>
        </w:rPr>
        <w:t>（或授权代表）</w:t>
      </w:r>
      <w:r>
        <w:rPr>
          <w:rFonts w:hint="eastAsia" w:ascii="仿宋_GB2312" w:hAnsi="仿宋_GB2312" w:eastAsia="仿宋_GB2312" w:cs="仿宋_GB2312"/>
          <w:sz w:val="24"/>
        </w:rPr>
        <w:t>签字：</w:t>
      </w:r>
      <w:r>
        <w:rPr>
          <w:rFonts w:hint="eastAsia" w:ascii="仿宋_GB2312" w:hAnsi="仿宋_GB2312" w:eastAsia="仿宋_GB2312" w:cs="仿宋_GB2312"/>
          <w:sz w:val="24"/>
          <w:u w:val="single"/>
        </w:rPr>
        <w:t xml:space="preserve">       </w:t>
      </w:r>
    </w:p>
    <w:p w14:paraId="34C14755">
      <w:pPr>
        <w:adjustRightInd w:val="0"/>
        <w:snapToGrid w:val="0"/>
        <w:spacing w:line="560" w:lineRule="exact"/>
        <w:ind w:left="2674" w:leftChars="1400" w:firstLine="774" w:firstLineChars="350"/>
        <w:rPr>
          <w:rFonts w:ascii="仿宋_GB2312" w:hAnsi="仿宋_GB2312" w:eastAsia="仿宋_GB2312" w:cs="仿宋_GB2312"/>
          <w:sz w:val="24"/>
          <w:u w:val="single"/>
        </w:rPr>
      </w:pPr>
      <w:r>
        <w:rPr>
          <w:rFonts w:hint="eastAsia" w:ascii="仿宋_GB2312" w:hAnsi="仿宋_GB2312" w:eastAsia="仿宋_GB2312" w:cs="仿宋_GB2312"/>
          <w:sz w:val="24"/>
        </w:rPr>
        <w:t>供应商名称</w:t>
      </w:r>
      <w:r>
        <w:rPr>
          <w:rFonts w:hint="eastAsia" w:ascii="仿宋_GB2312" w:hAnsi="仿宋_GB2312" w:eastAsia="仿宋_GB2312" w:cs="仿宋_GB2312"/>
          <w:sz w:val="24"/>
          <w:szCs w:val="21"/>
        </w:rPr>
        <w:t>（签章）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75DA54FA">
      <w:pPr>
        <w:adjustRightInd w:val="0"/>
        <w:snapToGrid w:val="0"/>
        <w:spacing w:line="560" w:lineRule="exact"/>
        <w:ind w:left="2674" w:leftChars="1400" w:firstLine="774" w:firstLineChars="350"/>
        <w:rPr>
          <w:rFonts w:ascii="仿宋_GB2312" w:hAnsi="仿宋_GB2312" w:eastAsia="仿宋_GB2312" w:cs="仿宋_GB2312"/>
          <w:sz w:val="24"/>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53FAF780">
      <w:pPr>
        <w:adjustRightInd w:val="0"/>
        <w:snapToGrid w:val="0"/>
        <w:spacing w:line="560" w:lineRule="exact"/>
        <w:jc w:val="center"/>
        <w:rPr>
          <w:rFonts w:hint="eastAsia" w:ascii="方正公文小标宋" w:hAnsi="方正公文小标宋" w:eastAsia="方正公文小标宋" w:cs="方正公文小标宋"/>
          <w:bCs/>
          <w:sz w:val="44"/>
          <w:szCs w:val="44"/>
        </w:rPr>
      </w:pPr>
      <w:r>
        <w:rPr>
          <w:rFonts w:hint="eastAsia" w:ascii="Arial Unicode MS" w:hAnsi="Arial Unicode MS" w:cs="宋体"/>
          <w:bCs/>
          <w:sz w:val="24"/>
          <w:szCs w:val="32"/>
        </w:rPr>
        <w:br w:type="page"/>
      </w:r>
      <w:r>
        <w:rPr>
          <w:rFonts w:hint="eastAsia" w:ascii="方正公文小标宋" w:hAnsi="方正公文小标宋" w:eastAsia="方正公文小标宋" w:cs="方正公文小标宋"/>
          <w:bCs/>
          <w:sz w:val="44"/>
          <w:szCs w:val="44"/>
        </w:rPr>
        <w:t>供应商法定代表人授权委托书</w:t>
      </w:r>
    </w:p>
    <w:p w14:paraId="5DF5CCEE">
      <w:pPr>
        <w:adjustRightInd w:val="0"/>
        <w:snapToGrid w:val="0"/>
        <w:spacing w:line="560" w:lineRule="exact"/>
        <w:jc w:val="center"/>
        <w:rPr>
          <w:rFonts w:ascii="Arial Unicode MS" w:hAnsi="Arial Unicode MS" w:cs="宋体"/>
          <w:b/>
          <w:bCs/>
          <w:sz w:val="24"/>
        </w:rPr>
      </w:pPr>
    </w:p>
    <w:p w14:paraId="39C3A1B9">
      <w:pPr>
        <w:adjustRightInd w:val="0"/>
        <w:snapToGrid w:val="0"/>
        <w:spacing w:line="560" w:lineRule="exact"/>
        <w:rPr>
          <w:rFonts w:ascii="仿宋_GB2312" w:hAnsi="仿宋_GB2312" w:eastAsia="仿宋_GB2312" w:cs="仿宋_GB2312"/>
          <w:b/>
          <w:bCs/>
          <w:sz w:val="24"/>
        </w:rPr>
      </w:pPr>
      <w:r>
        <w:rPr>
          <w:rFonts w:hint="eastAsia" w:ascii="仿宋_GB2312" w:hAnsi="仿宋_GB2312" w:eastAsia="仿宋_GB2312" w:cs="仿宋_GB2312"/>
          <w:b/>
          <w:bCs/>
          <w:sz w:val="24"/>
        </w:rPr>
        <w:t>致：南方医科大学中西医结合医院</w:t>
      </w:r>
    </w:p>
    <w:p w14:paraId="21201931">
      <w:pPr>
        <w:adjustRightInd w:val="0"/>
        <w:snapToGrid w:val="0"/>
        <w:spacing w:line="560" w:lineRule="exact"/>
        <w:ind w:firstLine="442" w:firstLineChars="200"/>
        <w:rPr>
          <w:rFonts w:ascii="仿宋_GB2312" w:hAnsi="仿宋_GB2312" w:eastAsia="仿宋_GB2312" w:cs="仿宋_GB2312"/>
          <w:sz w:val="24"/>
        </w:rPr>
      </w:pPr>
      <w:r>
        <w:rPr>
          <w:rFonts w:hint="eastAsia" w:ascii="仿宋_GB2312" w:hAnsi="仿宋_GB2312" w:eastAsia="仿宋_GB2312" w:cs="仿宋_GB2312"/>
          <w:sz w:val="24"/>
        </w:rPr>
        <w:t>兹授权</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同志，为我方签订经济合同及办理其他事务代理人，其权限是：</w:t>
      </w:r>
      <w:r>
        <w:rPr>
          <w:rFonts w:hint="eastAsia" w:ascii="仿宋_GB2312" w:hAnsi="仿宋_GB2312" w:eastAsia="仿宋_GB2312" w:cs="仿宋_GB2312"/>
          <w:sz w:val="24"/>
          <w:u w:val="single"/>
        </w:rPr>
        <w:t>全权代表我司参与本项目的参选，负责提供与签署确认一切文书资料，以及向贵方递交的任何补充承诺</w:t>
      </w:r>
      <w:r>
        <w:rPr>
          <w:rFonts w:hint="eastAsia" w:ascii="仿宋_GB2312" w:hAnsi="仿宋_GB2312" w:eastAsia="仿宋_GB2312" w:cs="仿宋_GB2312"/>
          <w:sz w:val="24"/>
        </w:rPr>
        <w:t>。</w:t>
      </w:r>
    </w:p>
    <w:p w14:paraId="67731E40">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授权单位：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（盖章）     法定代表人：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（签名或盖私章）</w:t>
      </w:r>
    </w:p>
    <w:p w14:paraId="465C78F5">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有效期限：至</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     签 发日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64992492">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附：</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4"/>
        <w:gridCol w:w="4590"/>
      </w:tblGrid>
      <w:tr w14:paraId="031D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4" w:type="pct"/>
            <w:vAlign w:val="center"/>
          </w:tcPr>
          <w:p w14:paraId="621CDF83">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 xml:space="preserve">身份证号码： </w:t>
            </w:r>
          </w:p>
        </w:tc>
        <w:tc>
          <w:tcPr>
            <w:tcW w:w="2456" w:type="pct"/>
            <w:vAlign w:val="center"/>
          </w:tcPr>
          <w:p w14:paraId="08B782B4">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tc>
      </w:tr>
      <w:tr w14:paraId="6090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4" w:type="pct"/>
            <w:vAlign w:val="center"/>
          </w:tcPr>
          <w:p w14:paraId="2DFD9B03">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代表人性别：</w:t>
            </w:r>
          </w:p>
        </w:tc>
        <w:tc>
          <w:tcPr>
            <w:tcW w:w="2456" w:type="pct"/>
            <w:tcBorders>
              <w:bottom w:val="single" w:color="auto" w:sz="4" w:space="0"/>
            </w:tcBorders>
            <w:vAlign w:val="center"/>
          </w:tcPr>
          <w:p w14:paraId="75307F4E">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年龄：</w:t>
            </w:r>
          </w:p>
        </w:tc>
      </w:tr>
      <w:tr w14:paraId="1F49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4" w:type="pct"/>
            <w:tcBorders>
              <w:right w:val="single" w:color="auto" w:sz="2" w:space="0"/>
            </w:tcBorders>
            <w:vAlign w:val="center"/>
          </w:tcPr>
          <w:p w14:paraId="2F1026E2">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营业执照号码：</w:t>
            </w:r>
          </w:p>
        </w:tc>
        <w:tc>
          <w:tcPr>
            <w:tcW w:w="2456" w:type="pct"/>
            <w:tcBorders>
              <w:left w:val="single" w:color="auto" w:sz="2" w:space="0"/>
            </w:tcBorders>
            <w:vAlign w:val="center"/>
          </w:tcPr>
          <w:p w14:paraId="19B06619">
            <w:pPr>
              <w:adjustRightInd w:val="0"/>
              <w:snapToGrid w:val="0"/>
              <w:spacing w:line="560" w:lineRule="exact"/>
              <w:rPr>
                <w:rFonts w:ascii="仿宋_GB2312" w:hAnsi="仿宋_GB2312" w:eastAsia="仿宋_GB2312" w:cs="仿宋_GB2312"/>
                <w:sz w:val="24"/>
              </w:rPr>
            </w:pPr>
            <w:r>
              <w:rPr>
                <w:rFonts w:hint="eastAsia" w:ascii="仿宋_GB2312" w:hAnsi="仿宋_GB2312" w:eastAsia="仿宋_GB2312" w:cs="仿宋_GB2312"/>
                <w:sz w:val="24"/>
              </w:rPr>
              <w:t>经济性质：</w:t>
            </w:r>
          </w:p>
        </w:tc>
      </w:tr>
    </w:tbl>
    <w:p w14:paraId="6539D890">
      <w:pPr>
        <w:adjustRightInd w:val="0"/>
        <w:snapToGrid w:val="0"/>
        <w:spacing w:line="560" w:lineRule="exact"/>
        <w:ind w:left="-95" w:leftChars="-50"/>
        <w:rPr>
          <w:rFonts w:ascii="仿宋_GB2312" w:hAnsi="仿宋_GB2312" w:eastAsia="仿宋_GB2312" w:cs="仿宋_GB2312"/>
          <w:sz w:val="24"/>
          <w:szCs w:val="21"/>
        </w:rPr>
      </w:pPr>
      <w:r>
        <w:rPr>
          <w:rFonts w:hint="eastAsia" w:ascii="仿宋_GB2312" w:hAnsi="仿宋_GB2312" w:eastAsia="仿宋_GB2312" w:cs="仿宋_GB2312"/>
          <w:sz w:val="24"/>
          <w:szCs w:val="21"/>
        </w:rPr>
        <w:t>【说 明】1.法定代表人为企业事业单位、国家机关、社会团体的主要行政负责人。</w:t>
      </w:r>
    </w:p>
    <w:p w14:paraId="7735FB21">
      <w:pPr>
        <w:adjustRightInd w:val="0"/>
        <w:snapToGrid w:val="0"/>
        <w:spacing w:line="560" w:lineRule="exact"/>
        <w:ind w:left="-95" w:leftChars="-50"/>
        <w:rPr>
          <w:rFonts w:ascii="仿宋_GB2312" w:hAnsi="仿宋_GB2312" w:eastAsia="仿宋_GB2312" w:cs="仿宋_GB2312"/>
          <w:sz w:val="24"/>
          <w:szCs w:val="21"/>
        </w:rPr>
      </w:pPr>
      <w:r>
        <w:rPr>
          <w:rFonts w:hint="eastAsia" w:ascii="仿宋_GB2312" w:hAnsi="仿宋_GB2312" w:eastAsia="仿宋_GB2312" w:cs="仿宋_GB2312"/>
          <w:sz w:val="24"/>
          <w:szCs w:val="21"/>
        </w:rPr>
        <w:t xml:space="preserve">         2.所填内容必须填写真实、清楚，不得涂改。</w:t>
      </w:r>
    </w:p>
    <w:p w14:paraId="6CF013A0">
      <w:pPr>
        <w:adjustRightInd w:val="0"/>
        <w:snapToGrid w:val="0"/>
        <w:spacing w:line="560" w:lineRule="exact"/>
        <w:ind w:firstLine="884" w:firstLineChars="400"/>
        <w:rPr>
          <w:rFonts w:ascii="仿宋_GB2312" w:hAnsi="仿宋_GB2312" w:eastAsia="仿宋_GB2312" w:cs="仿宋_GB2312"/>
          <w:sz w:val="24"/>
          <w:szCs w:val="21"/>
        </w:rPr>
      </w:pPr>
      <w:r>
        <w:rPr>
          <w:rFonts w:hint="eastAsia" w:ascii="仿宋_GB2312" w:hAnsi="仿宋_GB2312" w:eastAsia="仿宋_GB2312" w:cs="仿宋_GB2312"/>
          <w:sz w:val="24"/>
          <w:szCs w:val="21"/>
        </w:rPr>
        <w:t>3.有效期限：与本公司参选文件中标注的参选有效期相同，自本单位递交参选文件之日起生效。</w:t>
      </w:r>
    </w:p>
    <w:p w14:paraId="512DDE08">
      <w:pPr>
        <w:adjustRightInd w:val="0"/>
        <w:snapToGrid w:val="0"/>
        <w:spacing w:line="560" w:lineRule="exact"/>
        <w:ind w:left="-95" w:leftChars="-50" w:firstLine="995" w:firstLineChars="450"/>
        <w:rPr>
          <w:rFonts w:ascii="仿宋_GB2312" w:hAnsi="仿宋_GB2312" w:eastAsia="仿宋_GB2312" w:cs="仿宋_GB2312"/>
          <w:sz w:val="24"/>
          <w:szCs w:val="21"/>
        </w:rPr>
      </w:pPr>
      <w:r>
        <w:rPr>
          <w:rFonts w:hint="eastAsia" w:ascii="仿宋_GB2312" w:hAnsi="仿宋_GB2312" w:eastAsia="仿宋_GB2312" w:cs="仿宋_GB2312"/>
          <w:sz w:val="24"/>
          <w:szCs w:val="21"/>
        </w:rPr>
        <w:t>4.供应商签字代表为法定代表人，则本附件不需提交。</w:t>
      </w:r>
    </w:p>
    <w:p w14:paraId="67ABAAF3">
      <w:pPr>
        <w:adjustRightInd w:val="0"/>
        <w:snapToGrid w:val="0"/>
        <w:spacing w:line="560" w:lineRule="exact"/>
        <w:ind w:firstLine="420"/>
        <w:rPr>
          <w:rFonts w:ascii="仿宋_GB2312" w:hAnsi="仿宋_GB2312" w:eastAsia="仿宋_GB2312" w:cs="仿宋_GB2312"/>
          <w:sz w:val="24"/>
          <w:u w:val="single"/>
        </w:rPr>
      </w:pPr>
      <w:r>
        <w:rPr>
          <w:rFonts w:hint="eastAsia" w:ascii="仿宋_GB2312" w:hAnsi="仿宋_GB2312" w:eastAsia="仿宋_GB2312" w:cs="仿宋_GB2312"/>
          <w:sz w:val="24"/>
        </w:rPr>
        <mc:AlternateContent>
          <mc:Choice Requires="wps">
            <w:drawing>
              <wp:anchor distT="0" distB="0" distL="114300" distR="114300" simplePos="0" relativeHeight="251660288" behindDoc="0" locked="0" layoutInCell="1" allowOverlap="1">
                <wp:simplePos x="0" y="0"/>
                <wp:positionH relativeFrom="column">
                  <wp:posOffset>1600200</wp:posOffset>
                </wp:positionH>
                <wp:positionV relativeFrom="paragraph">
                  <wp:posOffset>26035</wp:posOffset>
                </wp:positionV>
                <wp:extent cx="2628900" cy="1584960"/>
                <wp:effectExtent l="5080" t="12065" r="13970" b="12700"/>
                <wp:wrapNone/>
                <wp:docPr id="1400574276" name="AutoShape 6"/>
                <wp:cNvGraphicFramePr/>
                <a:graphic xmlns:a="http://schemas.openxmlformats.org/drawingml/2006/main">
                  <a:graphicData uri="http://schemas.microsoft.com/office/word/2010/wordprocessingShape">
                    <wps:wsp>
                      <wps:cNvSpPr>
                        <a:spLocks noChangeArrowheads="1"/>
                      </wps:cNvSpPr>
                      <wps:spPr bwMode="auto">
                        <a:xfrm>
                          <a:off x="0" y="0"/>
                          <a:ext cx="2628900" cy="1584960"/>
                        </a:xfrm>
                        <a:prstGeom prst="flowChartAlternateProcess">
                          <a:avLst/>
                        </a:prstGeom>
                        <a:solidFill>
                          <a:srgbClr val="FFFFFF"/>
                        </a:solidFill>
                        <a:ln w="9525" cmpd="sng">
                          <a:solidFill>
                            <a:srgbClr val="000000"/>
                          </a:solidFill>
                          <a:miter lim="800000"/>
                        </a:ln>
                      </wps:spPr>
                      <wps:txbx>
                        <w:txbxContent>
                          <w:p w14:paraId="4E0A41DE">
                            <w:pPr>
                              <w:jc w:val="center"/>
                              <w:rPr>
                                <w:rFonts w:hint="eastAsia" w:hAnsi="宋体"/>
                                <w:szCs w:val="21"/>
                              </w:rPr>
                            </w:pPr>
                          </w:p>
                          <w:p w14:paraId="7A8DAE99">
                            <w:pPr>
                              <w:jc w:val="center"/>
                              <w:rPr>
                                <w:rFonts w:hint="eastAsia" w:hAnsi="宋体"/>
                                <w:szCs w:val="21"/>
                              </w:rPr>
                            </w:pPr>
                          </w:p>
                          <w:p w14:paraId="28701254">
                            <w:pPr>
                              <w:jc w:val="center"/>
                              <w:rPr>
                                <w:rFonts w:hint="eastAsia" w:hAnsi="宋体"/>
                                <w:szCs w:val="21"/>
                              </w:rPr>
                            </w:pPr>
                          </w:p>
                          <w:p w14:paraId="6E7BE5F9">
                            <w:pPr>
                              <w:jc w:val="center"/>
                              <w:rPr>
                                <w:rFonts w:hint="eastAsia" w:hAnsi="宋体"/>
                                <w:szCs w:val="21"/>
                              </w:rPr>
                            </w:pPr>
                          </w:p>
                          <w:p w14:paraId="223269E9">
                            <w:pPr>
                              <w:jc w:val="center"/>
                              <w:rPr>
                                <w:rFonts w:ascii="楷体_GB2312" w:eastAsia="楷体_GB2312"/>
                                <w:szCs w:val="21"/>
                              </w:rPr>
                            </w:pPr>
                            <w:r>
                              <w:rPr>
                                <w:rFonts w:hint="eastAsia" w:ascii="楷体_GB2312" w:hAnsi="宋体" w:eastAsia="楷体_GB2312"/>
                                <w:szCs w:val="21"/>
                              </w:rPr>
                              <w:t>授权代表身份证复印件</w:t>
                            </w:r>
                          </w:p>
                        </w:txbxContent>
                      </wps:txbx>
                      <wps:bodyPr rot="0" vert="horz" wrap="square" lIns="91440" tIns="45720" rIns="91440" bIns="45720" anchor="t" anchorCtr="0" upright="1">
                        <a:noAutofit/>
                      </wps:bodyPr>
                    </wps:wsp>
                  </a:graphicData>
                </a:graphic>
              </wp:anchor>
            </w:drawing>
          </mc:Choice>
          <mc:Fallback>
            <w:pict>
              <v:shape id="AutoShape 6" o:spid="_x0000_s1026" o:spt="176" type="#_x0000_t176" style="position:absolute;left:0pt;margin-left:126pt;margin-top:2.05pt;height:124.8pt;width:207pt;z-index:251660288;mso-width-relative:page;mso-height-relative:page;" fillcolor="#FFFFFF" filled="t" stroked="t" coordsize="21600,21600" o:gfxdata="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FXfo7XAAAACQEAAA8AAAAAAAAAAQAg&#10;AAAAIgAAAGRycy9kb3ducmV2LnhtbFBLAQIUABQAAAAIAIdO4kCwHsFySAIAAKcEAAAOAAAAAAAA&#10;AAEAIAAAACYBAABkcnMvZTJvRG9jLnhtbFBLBQYAAAAABgAGAFkBAADgBQAAAAA=&#10;">
                <v:fill on="t" focussize="0,0"/>
                <v:stroke color="#000000" miterlimit="8" joinstyle="miter"/>
                <v:imagedata o:title=""/>
                <o:lock v:ext="edit" aspectratio="f"/>
                <v:textbox>
                  <w:txbxContent>
                    <w:p w14:paraId="4E0A41DE">
                      <w:pPr>
                        <w:jc w:val="center"/>
                        <w:rPr>
                          <w:rFonts w:hint="eastAsia" w:hAnsi="宋体"/>
                          <w:szCs w:val="21"/>
                        </w:rPr>
                      </w:pPr>
                    </w:p>
                    <w:p w14:paraId="7A8DAE99">
                      <w:pPr>
                        <w:jc w:val="center"/>
                        <w:rPr>
                          <w:rFonts w:hint="eastAsia" w:hAnsi="宋体"/>
                          <w:szCs w:val="21"/>
                        </w:rPr>
                      </w:pPr>
                    </w:p>
                    <w:p w14:paraId="28701254">
                      <w:pPr>
                        <w:jc w:val="center"/>
                        <w:rPr>
                          <w:rFonts w:hint="eastAsia" w:hAnsi="宋体"/>
                          <w:szCs w:val="21"/>
                        </w:rPr>
                      </w:pPr>
                    </w:p>
                    <w:p w14:paraId="6E7BE5F9">
                      <w:pPr>
                        <w:jc w:val="center"/>
                        <w:rPr>
                          <w:rFonts w:hint="eastAsia" w:hAnsi="宋体"/>
                          <w:szCs w:val="21"/>
                        </w:rPr>
                      </w:pPr>
                    </w:p>
                    <w:p w14:paraId="223269E9">
                      <w:pPr>
                        <w:jc w:val="center"/>
                        <w:rPr>
                          <w:rFonts w:ascii="楷体_GB2312" w:eastAsia="楷体_GB2312"/>
                          <w:szCs w:val="21"/>
                        </w:rPr>
                      </w:pPr>
                      <w:r>
                        <w:rPr>
                          <w:rFonts w:hint="eastAsia" w:ascii="楷体_GB2312" w:hAnsi="宋体" w:eastAsia="楷体_GB2312"/>
                          <w:szCs w:val="21"/>
                        </w:rPr>
                        <w:t>授权代表身份证复印件</w:t>
                      </w:r>
                    </w:p>
                  </w:txbxContent>
                </v:textbox>
              </v:shape>
            </w:pict>
          </mc:Fallback>
        </mc:AlternateContent>
      </w:r>
    </w:p>
    <w:p w14:paraId="3FCA2882">
      <w:pPr>
        <w:adjustRightInd w:val="0"/>
        <w:snapToGrid w:val="0"/>
        <w:spacing w:line="560" w:lineRule="exact"/>
        <w:ind w:firstLine="420"/>
        <w:rPr>
          <w:rFonts w:ascii="仿宋_GB2312" w:hAnsi="仿宋_GB2312" w:eastAsia="仿宋_GB2312" w:cs="仿宋_GB2312"/>
          <w:sz w:val="24"/>
          <w:u w:val="single"/>
        </w:rPr>
      </w:pPr>
    </w:p>
    <w:p w14:paraId="4980E336">
      <w:pPr>
        <w:adjustRightInd w:val="0"/>
        <w:snapToGrid w:val="0"/>
        <w:spacing w:line="560" w:lineRule="exact"/>
        <w:jc w:val="center"/>
        <w:rPr>
          <w:rFonts w:ascii="仿宋_GB2312" w:hAnsi="仿宋_GB2312" w:eastAsia="仿宋_GB2312" w:cs="仿宋_GB2312"/>
          <w:sz w:val="24"/>
          <w:szCs w:val="30"/>
        </w:rPr>
      </w:pPr>
    </w:p>
    <w:p w14:paraId="70995C3E">
      <w:pPr>
        <w:adjustRightInd w:val="0"/>
        <w:snapToGrid w:val="0"/>
        <w:spacing w:line="560" w:lineRule="exact"/>
        <w:jc w:val="center"/>
        <w:rPr>
          <w:rFonts w:ascii="仿宋_GB2312" w:hAnsi="仿宋_GB2312" w:eastAsia="仿宋_GB2312" w:cs="仿宋_GB2312"/>
          <w:bCs/>
          <w:sz w:val="24"/>
          <w:szCs w:val="30"/>
        </w:rPr>
      </w:pPr>
    </w:p>
    <w:p w14:paraId="46749741">
      <w:pPr>
        <w:adjustRightInd w:val="0"/>
        <w:snapToGrid w:val="0"/>
        <w:spacing w:line="560" w:lineRule="exact"/>
        <w:jc w:val="center"/>
        <w:rPr>
          <w:rFonts w:ascii="仿宋_GB2312" w:hAnsi="仿宋_GB2312" w:eastAsia="仿宋_GB2312" w:cs="仿宋_GB2312"/>
          <w:bCs/>
          <w:sz w:val="24"/>
          <w:szCs w:val="30"/>
        </w:rPr>
      </w:pPr>
    </w:p>
    <w:p w14:paraId="01DB85A3">
      <w:pPr>
        <w:adjustRightInd w:val="0"/>
        <w:snapToGrid w:val="0"/>
        <w:spacing w:line="560" w:lineRule="exact"/>
        <w:ind w:left="2674" w:leftChars="1400" w:firstLine="774" w:firstLineChars="350"/>
        <w:rPr>
          <w:rFonts w:ascii="仿宋_GB2312" w:hAnsi="仿宋_GB2312" w:eastAsia="仿宋_GB2312" w:cs="仿宋_GB2312"/>
          <w:sz w:val="24"/>
        </w:rPr>
      </w:pPr>
      <w:r>
        <w:rPr>
          <w:rFonts w:hint="eastAsia" w:ascii="仿宋_GB2312" w:hAnsi="仿宋_GB2312" w:eastAsia="仿宋_GB2312" w:cs="仿宋_GB2312"/>
          <w:sz w:val="24"/>
        </w:rPr>
        <w:t>供应商法定代表人</w:t>
      </w:r>
      <w:r>
        <w:rPr>
          <w:rFonts w:hint="eastAsia" w:ascii="仿宋_GB2312" w:hAnsi="仿宋_GB2312" w:eastAsia="仿宋_GB2312" w:cs="仿宋_GB2312"/>
          <w:sz w:val="24"/>
          <w:szCs w:val="21"/>
        </w:rPr>
        <w:t>（或授权代表）</w:t>
      </w:r>
      <w:r>
        <w:rPr>
          <w:rFonts w:hint="eastAsia" w:ascii="仿宋_GB2312" w:hAnsi="仿宋_GB2312" w:eastAsia="仿宋_GB2312" w:cs="仿宋_GB2312"/>
          <w:sz w:val="24"/>
        </w:rPr>
        <w:t>签字：</w:t>
      </w:r>
      <w:r>
        <w:rPr>
          <w:rFonts w:hint="eastAsia" w:ascii="仿宋_GB2312" w:hAnsi="仿宋_GB2312" w:eastAsia="仿宋_GB2312" w:cs="仿宋_GB2312"/>
          <w:sz w:val="24"/>
          <w:u w:val="single"/>
        </w:rPr>
        <w:t xml:space="preserve">       </w:t>
      </w:r>
    </w:p>
    <w:p w14:paraId="5DA27CB4">
      <w:pPr>
        <w:adjustRightInd w:val="0"/>
        <w:snapToGrid w:val="0"/>
        <w:spacing w:line="560" w:lineRule="exact"/>
        <w:ind w:left="2674" w:leftChars="1400" w:firstLine="774" w:firstLineChars="350"/>
        <w:rPr>
          <w:rFonts w:ascii="仿宋_GB2312" w:hAnsi="仿宋_GB2312" w:eastAsia="仿宋_GB2312" w:cs="仿宋_GB2312"/>
          <w:sz w:val="24"/>
          <w:u w:val="single"/>
        </w:rPr>
      </w:pPr>
      <w:r>
        <w:rPr>
          <w:rFonts w:hint="eastAsia" w:ascii="仿宋_GB2312" w:hAnsi="仿宋_GB2312" w:eastAsia="仿宋_GB2312" w:cs="仿宋_GB2312"/>
          <w:sz w:val="24"/>
        </w:rPr>
        <w:t>供应商名称</w:t>
      </w:r>
      <w:r>
        <w:rPr>
          <w:rFonts w:hint="eastAsia" w:ascii="仿宋_GB2312" w:hAnsi="仿宋_GB2312" w:eastAsia="仿宋_GB2312" w:cs="仿宋_GB2312"/>
          <w:sz w:val="24"/>
          <w:szCs w:val="21"/>
        </w:rPr>
        <w:t>（签章）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3D96F1F7">
      <w:pPr>
        <w:adjustRightInd w:val="0"/>
        <w:snapToGrid w:val="0"/>
        <w:spacing w:line="560" w:lineRule="exact"/>
        <w:ind w:left="2674" w:leftChars="1400" w:firstLine="774" w:firstLineChars="350"/>
        <w:rPr>
          <w:rFonts w:ascii="仿宋_GB2312" w:hAnsi="仿宋_GB2312" w:eastAsia="仿宋_GB2312" w:cs="仿宋_GB2312"/>
          <w:sz w:val="24"/>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62CD62C6">
      <w:pPr>
        <w:adjustRightInd w:val="0"/>
        <w:snapToGrid w:val="0"/>
        <w:spacing w:line="560" w:lineRule="exact"/>
        <w:jc w:val="center"/>
        <w:outlineLvl w:val="2"/>
        <w:rPr>
          <w:rFonts w:hint="eastAsia" w:ascii="方正公文小标宋" w:hAnsi="方正公文小标宋" w:eastAsia="方正公文小标宋" w:cs="方正公文小标宋"/>
          <w:bCs/>
          <w:sz w:val="44"/>
          <w:szCs w:val="44"/>
        </w:rPr>
      </w:pPr>
      <w:r>
        <w:rPr>
          <w:rFonts w:ascii="Arial Unicode MS" w:hAnsi="Arial Unicode MS" w:cs="宋体"/>
          <w:sz w:val="24"/>
        </w:rPr>
        <w:br w:type="page"/>
      </w:r>
      <w:bookmarkStart w:id="148" w:name="_Toc237415694"/>
      <w:bookmarkStart w:id="149" w:name="_Toc24345"/>
      <w:r>
        <w:rPr>
          <w:rFonts w:hint="eastAsia" w:ascii="方正公文小标宋" w:hAnsi="方正公文小标宋" w:eastAsia="方正公文小标宋" w:cs="方正公文小标宋"/>
          <w:bCs/>
          <w:sz w:val="44"/>
          <w:szCs w:val="44"/>
        </w:rPr>
        <w:t>供应商资格声明函</w:t>
      </w:r>
      <w:bookmarkEnd w:id="148"/>
      <w:bookmarkEnd w:id="149"/>
    </w:p>
    <w:p w14:paraId="7C534228">
      <w:pPr>
        <w:adjustRightInd w:val="0"/>
        <w:snapToGrid w:val="0"/>
        <w:spacing w:line="560" w:lineRule="exact"/>
        <w:rPr>
          <w:rFonts w:ascii="Arial Unicode MS" w:hAnsi="Arial Unicode MS" w:cs="宋体"/>
          <w:sz w:val="24"/>
        </w:rPr>
      </w:pPr>
    </w:p>
    <w:p w14:paraId="211DFEE1">
      <w:pPr>
        <w:pStyle w:val="13"/>
        <w:spacing w:line="560" w:lineRule="exact"/>
        <w:jc w:val="both"/>
        <w:rPr>
          <w:rFonts w:hAnsi="仿宋_GB2312" w:cs="仿宋_GB2312"/>
          <w:b/>
          <w:bCs/>
          <w:szCs w:val="24"/>
        </w:rPr>
      </w:pPr>
      <w:r>
        <w:rPr>
          <w:rFonts w:hint="eastAsia" w:hAnsi="仿宋_GB2312" w:cs="仿宋_GB2312"/>
          <w:b/>
          <w:bCs/>
          <w:szCs w:val="24"/>
        </w:rPr>
        <w:t>致：南方医科大学中西医结合医院</w:t>
      </w:r>
    </w:p>
    <w:p w14:paraId="16C7CB71">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为响应贵方</w:t>
      </w:r>
      <w:r>
        <w:rPr>
          <w:rFonts w:hint="eastAsia" w:ascii="仿宋_GB2312" w:hAnsi="仿宋_GB2312" w:eastAsia="仿宋_GB2312" w:cs="仿宋_GB2312"/>
          <w:w w:val="90"/>
          <w:sz w:val="24"/>
          <w:u w:val="single"/>
        </w:rPr>
        <w:t xml:space="preserve">        </w:t>
      </w:r>
      <w:r>
        <w:rPr>
          <w:rFonts w:hint="eastAsia" w:ascii="仿宋_GB2312" w:hAnsi="仿宋_GB2312" w:eastAsia="仿宋_GB2312" w:cs="仿宋_GB2312"/>
          <w:sz w:val="24"/>
        </w:rPr>
        <w:t>号（项目编号）竞磋文件，本签字人愿意参加采购，提供贵方规定的医院</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项目，并证明提交的下列文件和说明是准确的和真实的。</w:t>
      </w:r>
    </w:p>
    <w:p w14:paraId="09D46F64">
      <w:pPr>
        <w:pStyle w:val="7"/>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8"/>
        </w:rPr>
        <w:t xml:space="preserve"> </w:t>
      </w:r>
      <w:r>
        <w:rPr>
          <w:rFonts w:hint="eastAsia" w:ascii="仿宋_GB2312" w:hAnsi="仿宋_GB2312" w:eastAsia="仿宋_GB2312" w:cs="仿宋_GB2312"/>
          <w:sz w:val="24"/>
          <w:szCs w:val="24"/>
          <w:u w:val="single"/>
        </w:rPr>
        <w:t xml:space="preserve">     （供应商名称）    </w:t>
      </w:r>
      <w:r>
        <w:rPr>
          <w:rFonts w:hint="eastAsia" w:ascii="仿宋_GB2312" w:hAnsi="仿宋_GB2312" w:eastAsia="仿宋_GB2312" w:cs="仿宋_GB2312"/>
          <w:sz w:val="24"/>
          <w:szCs w:val="24"/>
        </w:rPr>
        <w:t>完全具备《政府采购法》第二十二条规定的条件。</w:t>
      </w:r>
    </w:p>
    <w:p w14:paraId="35C211CA">
      <w:pPr>
        <w:pStyle w:val="7"/>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u w:val="single"/>
        </w:rPr>
        <w:t xml:space="preserve">    （供应商名称）    </w:t>
      </w:r>
      <w:r>
        <w:rPr>
          <w:rFonts w:hint="eastAsia" w:ascii="仿宋_GB2312" w:hAnsi="仿宋_GB2312" w:eastAsia="仿宋_GB2312" w:cs="仿宋_GB2312"/>
          <w:sz w:val="24"/>
          <w:szCs w:val="24"/>
        </w:rPr>
        <w:t>具有独立承担民事责任的能力。</w:t>
      </w:r>
    </w:p>
    <w:p w14:paraId="713150A4">
      <w:pPr>
        <w:pStyle w:val="7"/>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u w:val="single"/>
        </w:rPr>
        <w:t xml:space="preserve">    （供应商名称）    </w:t>
      </w:r>
      <w:r>
        <w:rPr>
          <w:rFonts w:hint="eastAsia" w:ascii="仿宋_GB2312" w:hAnsi="仿宋_GB2312" w:eastAsia="仿宋_GB2312" w:cs="仿宋_GB2312"/>
          <w:sz w:val="24"/>
          <w:szCs w:val="24"/>
        </w:rPr>
        <w:t>具有良好的商业信誉和健全的财务会计制度。</w:t>
      </w:r>
    </w:p>
    <w:p w14:paraId="0BEF90C1">
      <w:pPr>
        <w:pStyle w:val="7"/>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u w:val="single"/>
        </w:rPr>
        <w:t xml:space="preserve">    （供应商名称）    </w:t>
      </w:r>
      <w:r>
        <w:rPr>
          <w:rFonts w:hint="eastAsia" w:ascii="仿宋_GB2312" w:hAnsi="仿宋_GB2312" w:eastAsia="仿宋_GB2312" w:cs="仿宋_GB2312"/>
          <w:sz w:val="24"/>
          <w:szCs w:val="24"/>
        </w:rPr>
        <w:t>具有履行合同所必需的设备和专业技术能力。</w:t>
      </w:r>
    </w:p>
    <w:p w14:paraId="0090E242">
      <w:pPr>
        <w:pStyle w:val="7"/>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u w:val="single"/>
        </w:rPr>
        <w:t xml:space="preserve">    （供应商名称）    </w:t>
      </w:r>
      <w:r>
        <w:rPr>
          <w:rFonts w:hint="eastAsia" w:ascii="仿宋_GB2312" w:hAnsi="仿宋_GB2312" w:eastAsia="仿宋_GB2312" w:cs="仿宋_GB2312"/>
          <w:sz w:val="24"/>
          <w:szCs w:val="24"/>
        </w:rPr>
        <w:t>有依法缴纳税收和社会保障资金的良好记录。</w:t>
      </w:r>
    </w:p>
    <w:p w14:paraId="51449C8C">
      <w:pPr>
        <w:pStyle w:val="7"/>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u w:val="single"/>
        </w:rPr>
        <w:t xml:space="preserve">    （供应商名称）    </w:t>
      </w:r>
      <w:r>
        <w:rPr>
          <w:rFonts w:hint="eastAsia" w:ascii="仿宋_GB2312" w:hAnsi="仿宋_GB2312" w:eastAsia="仿宋_GB2312" w:cs="仿宋_GB2312"/>
          <w:sz w:val="24"/>
          <w:szCs w:val="24"/>
        </w:rPr>
        <w:t>参加政府采购活动前三年内，在经营活动中没有重大违法记录。</w:t>
      </w:r>
    </w:p>
    <w:p w14:paraId="503684E5">
      <w:pPr>
        <w:pStyle w:val="7"/>
        <w:adjustRightInd w:val="0"/>
        <w:snapToGrid w:val="0"/>
        <w:spacing w:line="5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u w:val="single"/>
        </w:rPr>
        <w:t xml:space="preserve">    （供应商名称）    </w:t>
      </w:r>
      <w:r>
        <w:rPr>
          <w:rFonts w:hint="eastAsia" w:ascii="仿宋_GB2312" w:hAnsi="仿宋_GB2312" w:eastAsia="仿宋_GB2312" w:cs="仿宋_GB2312"/>
          <w:sz w:val="24"/>
          <w:szCs w:val="24"/>
        </w:rPr>
        <w:t>符合法律、行政法规规定的其他条件。</w:t>
      </w:r>
    </w:p>
    <w:p w14:paraId="569528EB">
      <w:pPr>
        <w:adjustRightInd w:val="0"/>
        <w:snapToGrid w:val="0"/>
        <w:spacing w:line="560" w:lineRule="exact"/>
        <w:ind w:firstLine="606"/>
        <w:rPr>
          <w:rFonts w:ascii="仿宋_GB2312" w:hAnsi="仿宋_GB2312" w:eastAsia="仿宋_GB2312" w:cs="仿宋_GB2312"/>
          <w:sz w:val="24"/>
        </w:rPr>
      </w:pPr>
    </w:p>
    <w:p w14:paraId="334FB682">
      <w:pPr>
        <w:adjustRightInd w:val="0"/>
        <w:snapToGrid w:val="0"/>
        <w:spacing w:line="560" w:lineRule="exact"/>
        <w:ind w:firstLine="606"/>
        <w:rPr>
          <w:rFonts w:ascii="仿宋_GB2312" w:hAnsi="仿宋_GB2312" w:eastAsia="仿宋_GB2312" w:cs="仿宋_GB2312"/>
          <w:sz w:val="24"/>
        </w:rPr>
      </w:pPr>
    </w:p>
    <w:p w14:paraId="14196BBA">
      <w:pPr>
        <w:adjustRightInd w:val="0"/>
        <w:snapToGrid w:val="0"/>
        <w:spacing w:line="560" w:lineRule="exact"/>
        <w:ind w:left="2674" w:leftChars="1400" w:firstLine="774" w:firstLineChars="350"/>
        <w:rPr>
          <w:rFonts w:ascii="仿宋_GB2312" w:hAnsi="仿宋_GB2312" w:eastAsia="仿宋_GB2312" w:cs="仿宋_GB2312"/>
          <w:sz w:val="24"/>
        </w:rPr>
      </w:pPr>
      <w:r>
        <w:rPr>
          <w:rFonts w:hint="eastAsia" w:ascii="仿宋_GB2312" w:hAnsi="仿宋_GB2312" w:eastAsia="仿宋_GB2312" w:cs="仿宋_GB2312"/>
          <w:sz w:val="24"/>
        </w:rPr>
        <w:t>供应商法定代表人</w:t>
      </w:r>
      <w:r>
        <w:rPr>
          <w:rFonts w:hint="eastAsia" w:ascii="仿宋_GB2312" w:hAnsi="仿宋_GB2312" w:eastAsia="仿宋_GB2312" w:cs="仿宋_GB2312"/>
          <w:sz w:val="24"/>
          <w:szCs w:val="21"/>
        </w:rPr>
        <w:t>（或授权代表）</w:t>
      </w:r>
      <w:r>
        <w:rPr>
          <w:rFonts w:hint="eastAsia" w:ascii="仿宋_GB2312" w:hAnsi="仿宋_GB2312" w:eastAsia="仿宋_GB2312" w:cs="仿宋_GB2312"/>
          <w:sz w:val="24"/>
        </w:rPr>
        <w:t>签字：</w:t>
      </w:r>
      <w:r>
        <w:rPr>
          <w:rFonts w:hint="eastAsia" w:ascii="仿宋_GB2312" w:hAnsi="仿宋_GB2312" w:eastAsia="仿宋_GB2312" w:cs="仿宋_GB2312"/>
          <w:sz w:val="24"/>
          <w:u w:val="single"/>
        </w:rPr>
        <w:t xml:space="preserve">       </w:t>
      </w:r>
    </w:p>
    <w:p w14:paraId="2E467186">
      <w:pPr>
        <w:adjustRightInd w:val="0"/>
        <w:snapToGrid w:val="0"/>
        <w:spacing w:line="560" w:lineRule="exact"/>
        <w:ind w:left="2674" w:leftChars="1400" w:firstLine="774" w:firstLineChars="350"/>
        <w:rPr>
          <w:rFonts w:ascii="仿宋_GB2312" w:hAnsi="仿宋_GB2312" w:eastAsia="仿宋_GB2312" w:cs="仿宋_GB2312"/>
          <w:sz w:val="24"/>
          <w:u w:val="single"/>
        </w:rPr>
      </w:pPr>
      <w:r>
        <w:rPr>
          <w:rFonts w:hint="eastAsia" w:ascii="仿宋_GB2312" w:hAnsi="仿宋_GB2312" w:eastAsia="仿宋_GB2312" w:cs="仿宋_GB2312"/>
          <w:sz w:val="24"/>
        </w:rPr>
        <w:t>供应商名称</w:t>
      </w:r>
      <w:r>
        <w:rPr>
          <w:rFonts w:hint="eastAsia" w:ascii="仿宋_GB2312" w:hAnsi="仿宋_GB2312" w:eastAsia="仿宋_GB2312" w:cs="仿宋_GB2312"/>
          <w:sz w:val="24"/>
          <w:szCs w:val="21"/>
        </w:rPr>
        <w:t>（签章）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5F7DE8EF">
      <w:pPr>
        <w:adjustRightInd w:val="0"/>
        <w:snapToGrid w:val="0"/>
        <w:spacing w:line="560" w:lineRule="exact"/>
        <w:ind w:firstLine="3441" w:firstLineChars="1557"/>
        <w:rPr>
          <w:rFonts w:ascii="仿宋_GB2312" w:hAnsi="仿宋_GB2312" w:eastAsia="仿宋_GB2312" w:cs="仿宋_GB2312"/>
          <w:sz w:val="24"/>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7C5E0F0F">
      <w:pPr>
        <w:pStyle w:val="4"/>
      </w:pPr>
    </w:p>
    <w:p w14:paraId="3F74A46A">
      <w:pPr>
        <w:adjustRightInd w:val="0"/>
        <w:snapToGrid w:val="0"/>
        <w:spacing w:line="560" w:lineRule="exact"/>
        <w:jc w:val="center"/>
        <w:outlineLvl w:val="2"/>
        <w:rPr>
          <w:rFonts w:hint="eastAsia" w:ascii="方正公文小标宋" w:hAnsi="方正公文小标宋" w:eastAsia="方正公文小标宋" w:cs="方正公文小标宋"/>
          <w:bCs/>
          <w:sz w:val="44"/>
          <w:szCs w:val="44"/>
        </w:rPr>
      </w:pPr>
      <w:bookmarkStart w:id="150" w:name="_Toc237415695"/>
      <w:r>
        <w:rPr>
          <w:rFonts w:hint="eastAsia" w:ascii="方正公文小标宋" w:hAnsi="方正公文小标宋" w:eastAsia="方正公文小标宋" w:cs="方正公文小标宋"/>
          <w:bCs/>
          <w:sz w:val="44"/>
          <w:szCs w:val="44"/>
        </w:rPr>
        <w:br w:type="page"/>
      </w:r>
      <w:bookmarkStart w:id="151" w:name="_Toc27278"/>
      <w:r>
        <w:rPr>
          <w:rFonts w:hint="eastAsia" w:ascii="方正公文小标宋" w:hAnsi="方正公文小标宋" w:eastAsia="方正公文小标宋" w:cs="方正公文小标宋"/>
          <w:bCs/>
          <w:sz w:val="44"/>
          <w:szCs w:val="44"/>
        </w:rPr>
        <w:t>对★采购需求响应承诺函</w:t>
      </w:r>
      <w:bookmarkEnd w:id="150"/>
      <w:bookmarkEnd w:id="151"/>
    </w:p>
    <w:p w14:paraId="78D45AFC">
      <w:pPr>
        <w:ind w:left="420"/>
      </w:pPr>
    </w:p>
    <w:p w14:paraId="05B365A5">
      <w:pPr>
        <w:pStyle w:val="13"/>
        <w:spacing w:line="560" w:lineRule="exact"/>
        <w:jc w:val="both"/>
        <w:rPr>
          <w:rFonts w:hAnsi="仿宋_GB2312" w:cs="仿宋_GB2312"/>
          <w:b/>
          <w:bCs/>
          <w:szCs w:val="24"/>
        </w:rPr>
      </w:pPr>
      <w:r>
        <w:rPr>
          <w:rFonts w:hint="eastAsia" w:hAnsi="仿宋_GB2312" w:cs="仿宋_GB2312"/>
          <w:b/>
          <w:bCs/>
          <w:szCs w:val="24"/>
        </w:rPr>
        <w:t>致：南方医科大学中西医结合医院</w:t>
      </w:r>
    </w:p>
    <w:p w14:paraId="4E4F143A">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我司参加贵院组织的、的南方医科大学中西医结合医院</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项目院内竞磋。针对竞磋文件“</w:t>
      </w:r>
      <w:r>
        <w:rPr>
          <w:rFonts w:hint="eastAsia"/>
        </w:rPr>
        <w:t>★</w:t>
      </w:r>
      <w:r>
        <w:rPr>
          <w:rFonts w:hint="eastAsia" w:ascii="仿宋_GB2312" w:hAnsi="仿宋_GB2312" w:eastAsia="仿宋_GB2312" w:cs="仿宋_GB2312"/>
          <w:sz w:val="24"/>
        </w:rPr>
        <w:t>采购需求”中的条款，我司现作出如下承诺：</w:t>
      </w:r>
    </w:p>
    <w:p w14:paraId="4AC7D222">
      <w:pPr>
        <w:adjustRightInd w:val="0"/>
        <w:snapToGrid w:val="0"/>
        <w:spacing w:line="560" w:lineRule="exact"/>
        <w:ind w:firstLine="606"/>
        <w:rPr>
          <w:rFonts w:ascii="仿宋_GB2312" w:hAnsi="仿宋_GB2312" w:eastAsia="仿宋_GB2312" w:cs="仿宋_GB2312"/>
          <w:sz w:val="24"/>
        </w:rPr>
      </w:pPr>
      <w:r>
        <w:rPr>
          <w:rFonts w:hint="eastAsia" w:ascii="仿宋_GB2312" w:hAnsi="仿宋_GB2312" w:eastAsia="仿宋_GB2312" w:cs="仿宋_GB2312"/>
          <w:sz w:val="24"/>
        </w:rPr>
        <w:t>我司充分理解本项目竞磋文件“</w:t>
      </w:r>
      <w:r>
        <w:rPr>
          <w:rFonts w:hint="eastAsia"/>
        </w:rPr>
        <w:t>★</w:t>
      </w:r>
      <w:r>
        <w:rPr>
          <w:rFonts w:hint="eastAsia" w:ascii="仿宋_GB2312" w:hAnsi="仿宋_GB2312" w:eastAsia="仿宋_GB2312" w:cs="仿宋_GB2312"/>
          <w:sz w:val="24"/>
        </w:rPr>
        <w:t>采购需求”中所有条款及其所包含的责任及合同义务（如成功缔约）。通过盖章签署本承诺函，我司一并承诺对上述有关条款能够完全响应采购文件“</w:t>
      </w:r>
      <w:r>
        <w:rPr>
          <w:rFonts w:hint="eastAsia"/>
        </w:rPr>
        <w:t>★</w:t>
      </w:r>
      <w:r>
        <w:rPr>
          <w:rFonts w:hint="eastAsia" w:ascii="仿宋_GB2312" w:hAnsi="仿宋_GB2312" w:eastAsia="仿宋_GB2312" w:cs="仿宋_GB2312"/>
          <w:sz w:val="24"/>
        </w:rPr>
        <w:t>采购需求”的要求响应满足，并在合同履行过程中按承诺履约。</w:t>
      </w:r>
    </w:p>
    <w:p w14:paraId="6ED52CC1">
      <w:pPr>
        <w:adjustRightInd w:val="0"/>
        <w:snapToGrid w:val="0"/>
        <w:spacing w:line="560" w:lineRule="exact"/>
        <w:ind w:firstLine="606"/>
        <w:rPr>
          <w:rFonts w:ascii="仿宋_GB2312" w:hAnsi="仿宋_GB2312" w:eastAsia="仿宋_GB2312" w:cs="仿宋_GB2312"/>
          <w:sz w:val="24"/>
        </w:rPr>
      </w:pPr>
    </w:p>
    <w:p w14:paraId="0322D01E">
      <w:pPr>
        <w:adjustRightInd w:val="0"/>
        <w:snapToGrid w:val="0"/>
        <w:spacing w:line="560" w:lineRule="exact"/>
        <w:ind w:firstLine="606"/>
        <w:rPr>
          <w:rFonts w:ascii="仿宋_GB2312" w:hAnsi="仿宋_GB2312" w:eastAsia="仿宋_GB2312" w:cs="仿宋_GB2312"/>
          <w:sz w:val="24"/>
        </w:rPr>
      </w:pPr>
    </w:p>
    <w:p w14:paraId="6996C6DE">
      <w:pPr>
        <w:adjustRightInd w:val="0"/>
        <w:snapToGrid w:val="0"/>
        <w:spacing w:line="560" w:lineRule="exact"/>
        <w:ind w:firstLine="606"/>
        <w:rPr>
          <w:rFonts w:ascii="仿宋_GB2312" w:hAnsi="仿宋_GB2312" w:eastAsia="仿宋_GB2312" w:cs="仿宋_GB2312"/>
          <w:sz w:val="24"/>
        </w:rPr>
      </w:pPr>
    </w:p>
    <w:p w14:paraId="585826CA">
      <w:pPr>
        <w:adjustRightInd w:val="0"/>
        <w:snapToGrid w:val="0"/>
        <w:spacing w:line="560" w:lineRule="exact"/>
        <w:ind w:firstLine="606"/>
        <w:rPr>
          <w:rFonts w:ascii="仿宋_GB2312" w:hAnsi="仿宋_GB2312" w:eastAsia="仿宋_GB2312" w:cs="仿宋_GB2312"/>
          <w:sz w:val="24"/>
        </w:rPr>
      </w:pPr>
    </w:p>
    <w:p w14:paraId="48D4F2B1">
      <w:pPr>
        <w:adjustRightInd w:val="0"/>
        <w:snapToGrid w:val="0"/>
        <w:spacing w:line="560" w:lineRule="exact"/>
        <w:ind w:left="2674" w:leftChars="1400" w:firstLine="774" w:firstLineChars="350"/>
        <w:rPr>
          <w:rFonts w:ascii="仿宋_GB2312" w:hAnsi="仿宋_GB2312" w:eastAsia="仿宋_GB2312" w:cs="仿宋_GB2312"/>
          <w:sz w:val="24"/>
        </w:rPr>
      </w:pPr>
      <w:r>
        <w:rPr>
          <w:rFonts w:hint="eastAsia" w:ascii="仿宋_GB2312" w:hAnsi="仿宋_GB2312" w:eastAsia="仿宋_GB2312" w:cs="仿宋_GB2312"/>
          <w:sz w:val="24"/>
        </w:rPr>
        <w:t>供应商法定代表人</w:t>
      </w:r>
      <w:r>
        <w:rPr>
          <w:rFonts w:hint="eastAsia" w:ascii="仿宋_GB2312" w:hAnsi="仿宋_GB2312" w:eastAsia="仿宋_GB2312" w:cs="仿宋_GB2312"/>
          <w:sz w:val="24"/>
          <w:szCs w:val="21"/>
        </w:rPr>
        <w:t>（或授权代表）</w:t>
      </w:r>
      <w:r>
        <w:rPr>
          <w:rFonts w:hint="eastAsia" w:ascii="仿宋_GB2312" w:hAnsi="仿宋_GB2312" w:eastAsia="仿宋_GB2312" w:cs="仿宋_GB2312"/>
          <w:sz w:val="24"/>
        </w:rPr>
        <w:t>签字：</w:t>
      </w:r>
      <w:r>
        <w:rPr>
          <w:rFonts w:hint="eastAsia" w:ascii="仿宋_GB2312" w:hAnsi="仿宋_GB2312" w:eastAsia="仿宋_GB2312" w:cs="仿宋_GB2312"/>
          <w:sz w:val="24"/>
          <w:u w:val="single"/>
        </w:rPr>
        <w:t xml:space="preserve">       </w:t>
      </w:r>
    </w:p>
    <w:p w14:paraId="2C6F4BF1">
      <w:pPr>
        <w:adjustRightInd w:val="0"/>
        <w:snapToGrid w:val="0"/>
        <w:spacing w:line="560" w:lineRule="exact"/>
        <w:ind w:left="2674" w:leftChars="1400" w:firstLine="774" w:firstLineChars="350"/>
        <w:rPr>
          <w:rFonts w:ascii="仿宋_GB2312" w:hAnsi="仿宋_GB2312" w:eastAsia="仿宋_GB2312" w:cs="仿宋_GB2312"/>
          <w:sz w:val="24"/>
          <w:u w:val="single"/>
        </w:rPr>
      </w:pPr>
      <w:r>
        <w:rPr>
          <w:rFonts w:hint="eastAsia" w:ascii="仿宋_GB2312" w:hAnsi="仿宋_GB2312" w:eastAsia="仿宋_GB2312" w:cs="仿宋_GB2312"/>
          <w:sz w:val="24"/>
        </w:rPr>
        <w:t>供应商名称</w:t>
      </w:r>
      <w:r>
        <w:rPr>
          <w:rFonts w:hint="eastAsia" w:ascii="仿宋_GB2312" w:hAnsi="仿宋_GB2312" w:eastAsia="仿宋_GB2312" w:cs="仿宋_GB2312"/>
          <w:sz w:val="24"/>
          <w:szCs w:val="21"/>
        </w:rPr>
        <w:t>（签章）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44C115A5">
      <w:pPr>
        <w:adjustRightInd w:val="0"/>
        <w:snapToGrid w:val="0"/>
        <w:spacing w:line="560" w:lineRule="exact"/>
        <w:ind w:firstLine="3441" w:firstLineChars="1557"/>
        <w:rPr>
          <w:rFonts w:ascii="仿宋_GB2312" w:hAnsi="仿宋_GB2312" w:eastAsia="仿宋_GB2312" w:cs="仿宋_GB2312"/>
          <w:sz w:val="24"/>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3E684484">
      <w:pPr>
        <w:pStyle w:val="13"/>
        <w:spacing w:line="560" w:lineRule="exact"/>
        <w:rPr>
          <w:rFonts w:ascii="Arial Unicode MS" w:hAnsi="Arial Unicode MS" w:eastAsia="宋体" w:cs="宋体"/>
        </w:rPr>
      </w:pPr>
    </w:p>
    <w:p w14:paraId="4119532B">
      <w:pPr>
        <w:autoSpaceDE w:val="0"/>
        <w:autoSpaceDN w:val="0"/>
        <w:jc w:val="center"/>
        <w:rPr>
          <w:rFonts w:hint="eastAsia" w:ascii="宋体" w:hAnsi="宋体"/>
          <w:b/>
          <w:sz w:val="32"/>
          <w:szCs w:val="32"/>
        </w:rPr>
      </w:pPr>
      <w:r>
        <w:rPr>
          <w:rFonts w:hint="eastAsia" w:ascii="Arial Unicode MS" w:hAnsi="Arial Unicode MS" w:cs="宋体"/>
          <w:sz w:val="24"/>
        </w:rPr>
        <w:br w:type="page"/>
      </w:r>
      <w:r>
        <w:rPr>
          <w:rFonts w:hint="eastAsia" w:ascii="宋体" w:hAnsi="宋体"/>
          <w:b/>
          <w:sz w:val="32"/>
          <w:szCs w:val="32"/>
        </w:rPr>
        <w:t>需求响应表</w:t>
      </w:r>
    </w:p>
    <w:p w14:paraId="039882F3">
      <w:pPr>
        <w:autoSpaceDE w:val="0"/>
        <w:autoSpaceDN w:val="0"/>
        <w:rPr>
          <w:rFonts w:hint="eastAsia" w:ascii="宋体" w:hAnsi="宋体"/>
        </w:rPr>
      </w:pPr>
    </w:p>
    <w:p w14:paraId="0CE44E17">
      <w:pPr>
        <w:ind w:left="643" w:hanging="643" w:hangingChars="337"/>
        <w:rPr>
          <w:rFonts w:hint="eastAsia" w:ascii="宋体" w:hAnsi="宋体"/>
        </w:rPr>
      </w:pPr>
      <w:r>
        <w:rPr>
          <w:rFonts w:hint="eastAsia" w:ascii="宋体" w:hAnsi="宋体"/>
        </w:rPr>
        <w:t>项目名称：南方医科大学中西医结合医院308nm紫外线光疗仪设备采购项目</w:t>
      </w:r>
    </w:p>
    <w:p w14:paraId="2D948978">
      <w:pPr>
        <w:ind w:left="643" w:hanging="643" w:hangingChars="337"/>
        <w:rPr>
          <w:rFonts w:hint="eastAsia" w:ascii="宋体" w:hAnsi="宋体"/>
        </w:rPr>
      </w:pP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2362"/>
        <w:gridCol w:w="2115"/>
        <w:gridCol w:w="1552"/>
        <w:gridCol w:w="1408"/>
        <w:gridCol w:w="1204"/>
      </w:tblGrid>
      <w:tr w14:paraId="4DFA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vAlign w:val="center"/>
          </w:tcPr>
          <w:p w14:paraId="366A9484">
            <w:pPr>
              <w:autoSpaceDE w:val="0"/>
              <w:autoSpaceDN w:val="0"/>
              <w:jc w:val="center"/>
              <w:rPr>
                <w:rFonts w:hint="eastAsia" w:ascii="宋体" w:hAnsi="宋体"/>
              </w:rPr>
            </w:pPr>
            <w:r>
              <w:rPr>
                <w:rFonts w:hint="eastAsia" w:ascii="宋体" w:hAnsi="宋体"/>
              </w:rPr>
              <w:t>序号</w:t>
            </w:r>
          </w:p>
        </w:tc>
        <w:tc>
          <w:tcPr>
            <w:tcW w:w="1263" w:type="pct"/>
            <w:vAlign w:val="center"/>
          </w:tcPr>
          <w:p w14:paraId="31D05037">
            <w:pPr>
              <w:autoSpaceDE w:val="0"/>
              <w:autoSpaceDN w:val="0"/>
              <w:jc w:val="center"/>
              <w:rPr>
                <w:rFonts w:hint="eastAsia" w:ascii="宋体" w:hAnsi="宋体"/>
              </w:rPr>
            </w:pPr>
            <w:r>
              <w:rPr>
                <w:rFonts w:hint="eastAsia" w:ascii="宋体" w:hAnsi="宋体"/>
              </w:rPr>
              <w:t>采购文件</w:t>
            </w:r>
            <w:r>
              <w:rPr>
                <w:rFonts w:hint="eastAsia"/>
              </w:rPr>
              <w:t>带“▲”和不带“</w:t>
            </w:r>
            <w:r>
              <w:rPr>
                <w:rFonts w:hint="eastAsia" w:ascii="仿宋" w:hAnsi="仿宋" w:eastAsia="仿宋" w:cs="仿宋"/>
              </w:rPr>
              <w:t>★</w:t>
            </w:r>
            <w:r>
              <w:rPr>
                <w:rFonts w:hint="eastAsia"/>
              </w:rPr>
              <w:t>▲”技术</w:t>
            </w:r>
            <w:r>
              <w:rPr>
                <w:rFonts w:hint="eastAsia" w:ascii="宋体" w:hAnsi="宋体"/>
              </w:rPr>
              <w:t>参数和需求要求</w:t>
            </w:r>
          </w:p>
        </w:tc>
        <w:tc>
          <w:tcPr>
            <w:tcW w:w="1131" w:type="pct"/>
            <w:vAlign w:val="center"/>
          </w:tcPr>
          <w:p w14:paraId="1FA213AB">
            <w:pPr>
              <w:autoSpaceDE w:val="0"/>
              <w:autoSpaceDN w:val="0"/>
              <w:jc w:val="center"/>
              <w:rPr>
                <w:rFonts w:hint="eastAsia" w:ascii="宋体" w:hAnsi="宋体"/>
              </w:rPr>
            </w:pPr>
            <w:r>
              <w:rPr>
                <w:rFonts w:hint="eastAsia" w:ascii="宋体" w:hAnsi="宋体"/>
              </w:rPr>
              <w:t>采购文件</w:t>
            </w:r>
            <w:r>
              <w:rPr>
                <w:rFonts w:hint="eastAsia"/>
              </w:rPr>
              <w:t>带“▲”和不带“</w:t>
            </w:r>
            <w:r>
              <w:rPr>
                <w:rFonts w:hint="eastAsia" w:ascii="仿宋" w:hAnsi="仿宋" w:eastAsia="仿宋" w:cs="仿宋"/>
              </w:rPr>
              <w:t>★</w:t>
            </w:r>
            <w:r>
              <w:rPr>
                <w:rFonts w:hint="eastAsia"/>
              </w:rPr>
              <w:t>▲”技术</w:t>
            </w:r>
            <w:r>
              <w:rPr>
                <w:rFonts w:hint="eastAsia" w:ascii="宋体" w:hAnsi="宋体"/>
              </w:rPr>
              <w:t>参数和需求响应</w:t>
            </w:r>
          </w:p>
        </w:tc>
        <w:tc>
          <w:tcPr>
            <w:tcW w:w="830" w:type="pct"/>
            <w:vAlign w:val="center"/>
          </w:tcPr>
          <w:p w14:paraId="27D937C0">
            <w:pPr>
              <w:autoSpaceDE w:val="0"/>
              <w:autoSpaceDN w:val="0"/>
              <w:jc w:val="center"/>
              <w:rPr>
                <w:rFonts w:hint="eastAsia" w:ascii="宋体" w:hAnsi="宋体"/>
              </w:rPr>
            </w:pPr>
            <w:r>
              <w:rPr>
                <w:rFonts w:hint="eastAsia" w:ascii="宋体" w:hAnsi="宋体"/>
              </w:rPr>
              <w:t>响应状态（正/负/无偏离）</w:t>
            </w:r>
          </w:p>
        </w:tc>
        <w:tc>
          <w:tcPr>
            <w:tcW w:w="753" w:type="pct"/>
            <w:vAlign w:val="center"/>
          </w:tcPr>
          <w:p w14:paraId="533C962B">
            <w:pPr>
              <w:autoSpaceDE w:val="0"/>
              <w:autoSpaceDN w:val="0"/>
              <w:jc w:val="center"/>
              <w:rPr>
                <w:rFonts w:hint="eastAsia" w:ascii="宋体" w:hAnsi="宋体"/>
              </w:rPr>
            </w:pPr>
            <w:r>
              <w:rPr>
                <w:rFonts w:hint="eastAsia" w:ascii="宋体" w:hAnsi="宋体"/>
              </w:rPr>
              <w:t>偏离说明</w:t>
            </w:r>
          </w:p>
        </w:tc>
        <w:tc>
          <w:tcPr>
            <w:tcW w:w="644" w:type="pct"/>
          </w:tcPr>
          <w:p w14:paraId="5659CC28">
            <w:pPr>
              <w:autoSpaceDE w:val="0"/>
              <w:autoSpaceDN w:val="0"/>
              <w:jc w:val="center"/>
              <w:rPr>
                <w:rFonts w:hint="eastAsia" w:ascii="宋体" w:hAnsi="宋体"/>
                <w:szCs w:val="21"/>
              </w:rPr>
            </w:pPr>
            <w:r>
              <w:rPr>
                <w:rFonts w:hint="eastAsia" w:ascii="宋体" w:hAnsi="宋体"/>
              </w:rPr>
              <w:t>采购</w:t>
            </w:r>
            <w:r>
              <w:rPr>
                <w:rFonts w:hint="eastAsia" w:ascii="宋体" w:hAnsi="宋体"/>
                <w:szCs w:val="21"/>
              </w:rPr>
              <w:t>文件响应页码（如有）</w:t>
            </w:r>
          </w:p>
        </w:tc>
      </w:tr>
      <w:tr w14:paraId="3F94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76" w:type="pct"/>
            <w:vAlign w:val="center"/>
          </w:tcPr>
          <w:p w14:paraId="0B00BC97">
            <w:pPr>
              <w:autoSpaceDE w:val="0"/>
              <w:autoSpaceDN w:val="0"/>
              <w:jc w:val="center"/>
              <w:rPr>
                <w:rFonts w:hint="eastAsia" w:ascii="宋体" w:hAnsi="宋体"/>
              </w:rPr>
            </w:pPr>
          </w:p>
        </w:tc>
        <w:tc>
          <w:tcPr>
            <w:tcW w:w="1263" w:type="pct"/>
            <w:vAlign w:val="center"/>
          </w:tcPr>
          <w:p w14:paraId="364FA235">
            <w:pPr>
              <w:autoSpaceDE w:val="0"/>
              <w:autoSpaceDN w:val="0"/>
              <w:jc w:val="center"/>
              <w:rPr>
                <w:rFonts w:hint="eastAsia" w:ascii="宋体" w:hAnsi="宋体"/>
              </w:rPr>
            </w:pPr>
          </w:p>
        </w:tc>
        <w:tc>
          <w:tcPr>
            <w:tcW w:w="1131" w:type="pct"/>
            <w:vAlign w:val="center"/>
          </w:tcPr>
          <w:p w14:paraId="280E8B52">
            <w:pPr>
              <w:autoSpaceDE w:val="0"/>
              <w:autoSpaceDN w:val="0"/>
              <w:jc w:val="center"/>
              <w:rPr>
                <w:rFonts w:hint="eastAsia" w:ascii="宋体" w:hAnsi="宋体"/>
              </w:rPr>
            </w:pPr>
          </w:p>
        </w:tc>
        <w:tc>
          <w:tcPr>
            <w:tcW w:w="830" w:type="pct"/>
            <w:vAlign w:val="center"/>
          </w:tcPr>
          <w:p w14:paraId="510387E1">
            <w:pPr>
              <w:autoSpaceDE w:val="0"/>
              <w:autoSpaceDN w:val="0"/>
              <w:jc w:val="center"/>
              <w:rPr>
                <w:rFonts w:hint="eastAsia" w:ascii="宋体" w:hAnsi="宋体"/>
              </w:rPr>
            </w:pPr>
          </w:p>
        </w:tc>
        <w:tc>
          <w:tcPr>
            <w:tcW w:w="753" w:type="pct"/>
            <w:vAlign w:val="center"/>
          </w:tcPr>
          <w:p w14:paraId="0F809A55">
            <w:pPr>
              <w:autoSpaceDE w:val="0"/>
              <w:autoSpaceDN w:val="0"/>
              <w:jc w:val="center"/>
              <w:rPr>
                <w:rFonts w:hint="eastAsia" w:ascii="宋体" w:hAnsi="宋体"/>
              </w:rPr>
            </w:pPr>
          </w:p>
        </w:tc>
        <w:tc>
          <w:tcPr>
            <w:tcW w:w="644" w:type="pct"/>
          </w:tcPr>
          <w:p w14:paraId="53AD6F51">
            <w:pPr>
              <w:autoSpaceDE w:val="0"/>
              <w:autoSpaceDN w:val="0"/>
              <w:jc w:val="center"/>
              <w:rPr>
                <w:rFonts w:hint="eastAsia" w:ascii="宋体" w:hAnsi="宋体"/>
              </w:rPr>
            </w:pPr>
          </w:p>
        </w:tc>
      </w:tr>
      <w:tr w14:paraId="067C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76" w:type="pct"/>
            <w:vAlign w:val="center"/>
          </w:tcPr>
          <w:p w14:paraId="390E8469">
            <w:pPr>
              <w:autoSpaceDE w:val="0"/>
              <w:autoSpaceDN w:val="0"/>
              <w:jc w:val="center"/>
              <w:rPr>
                <w:rFonts w:hint="eastAsia" w:ascii="宋体" w:hAnsi="宋体"/>
              </w:rPr>
            </w:pPr>
          </w:p>
        </w:tc>
        <w:tc>
          <w:tcPr>
            <w:tcW w:w="1263" w:type="pct"/>
            <w:vAlign w:val="center"/>
          </w:tcPr>
          <w:p w14:paraId="7CFA7274">
            <w:pPr>
              <w:autoSpaceDE w:val="0"/>
              <w:autoSpaceDN w:val="0"/>
              <w:jc w:val="center"/>
              <w:rPr>
                <w:rFonts w:hint="eastAsia" w:ascii="宋体" w:hAnsi="宋体"/>
              </w:rPr>
            </w:pPr>
          </w:p>
        </w:tc>
        <w:tc>
          <w:tcPr>
            <w:tcW w:w="1131" w:type="pct"/>
            <w:vAlign w:val="center"/>
          </w:tcPr>
          <w:p w14:paraId="2F05C2D4">
            <w:pPr>
              <w:autoSpaceDE w:val="0"/>
              <w:autoSpaceDN w:val="0"/>
              <w:jc w:val="center"/>
              <w:rPr>
                <w:rFonts w:hint="eastAsia" w:ascii="宋体" w:hAnsi="宋体"/>
              </w:rPr>
            </w:pPr>
          </w:p>
        </w:tc>
        <w:tc>
          <w:tcPr>
            <w:tcW w:w="830" w:type="pct"/>
            <w:vAlign w:val="center"/>
          </w:tcPr>
          <w:p w14:paraId="0B100E12">
            <w:pPr>
              <w:autoSpaceDE w:val="0"/>
              <w:autoSpaceDN w:val="0"/>
              <w:jc w:val="center"/>
              <w:rPr>
                <w:rFonts w:hint="eastAsia" w:ascii="宋体" w:hAnsi="宋体"/>
              </w:rPr>
            </w:pPr>
          </w:p>
        </w:tc>
        <w:tc>
          <w:tcPr>
            <w:tcW w:w="753" w:type="pct"/>
            <w:vAlign w:val="center"/>
          </w:tcPr>
          <w:p w14:paraId="01F86DDC">
            <w:pPr>
              <w:autoSpaceDE w:val="0"/>
              <w:autoSpaceDN w:val="0"/>
              <w:jc w:val="center"/>
              <w:rPr>
                <w:rFonts w:hint="eastAsia" w:ascii="宋体" w:hAnsi="宋体"/>
              </w:rPr>
            </w:pPr>
          </w:p>
        </w:tc>
        <w:tc>
          <w:tcPr>
            <w:tcW w:w="644" w:type="pct"/>
          </w:tcPr>
          <w:p w14:paraId="329B2F92">
            <w:pPr>
              <w:autoSpaceDE w:val="0"/>
              <w:autoSpaceDN w:val="0"/>
              <w:jc w:val="center"/>
              <w:rPr>
                <w:rFonts w:hint="eastAsia" w:ascii="宋体" w:hAnsi="宋体"/>
              </w:rPr>
            </w:pPr>
          </w:p>
        </w:tc>
      </w:tr>
      <w:tr w14:paraId="1081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76" w:type="pct"/>
            <w:vAlign w:val="center"/>
          </w:tcPr>
          <w:p w14:paraId="78DFA85B">
            <w:pPr>
              <w:autoSpaceDE w:val="0"/>
              <w:autoSpaceDN w:val="0"/>
              <w:jc w:val="center"/>
              <w:rPr>
                <w:rFonts w:hint="eastAsia" w:ascii="宋体" w:hAnsi="宋体"/>
              </w:rPr>
            </w:pPr>
          </w:p>
        </w:tc>
        <w:tc>
          <w:tcPr>
            <w:tcW w:w="1263" w:type="pct"/>
            <w:vAlign w:val="center"/>
          </w:tcPr>
          <w:p w14:paraId="374AA185">
            <w:pPr>
              <w:autoSpaceDE w:val="0"/>
              <w:autoSpaceDN w:val="0"/>
              <w:jc w:val="center"/>
              <w:rPr>
                <w:rFonts w:hint="eastAsia" w:ascii="宋体" w:hAnsi="宋体"/>
              </w:rPr>
            </w:pPr>
          </w:p>
        </w:tc>
        <w:tc>
          <w:tcPr>
            <w:tcW w:w="1131" w:type="pct"/>
            <w:vAlign w:val="center"/>
          </w:tcPr>
          <w:p w14:paraId="45234BE6">
            <w:pPr>
              <w:autoSpaceDE w:val="0"/>
              <w:autoSpaceDN w:val="0"/>
              <w:jc w:val="center"/>
              <w:rPr>
                <w:rFonts w:hint="eastAsia" w:ascii="宋体" w:hAnsi="宋体"/>
              </w:rPr>
            </w:pPr>
          </w:p>
        </w:tc>
        <w:tc>
          <w:tcPr>
            <w:tcW w:w="830" w:type="pct"/>
            <w:vAlign w:val="center"/>
          </w:tcPr>
          <w:p w14:paraId="76239590">
            <w:pPr>
              <w:autoSpaceDE w:val="0"/>
              <w:autoSpaceDN w:val="0"/>
              <w:jc w:val="center"/>
              <w:rPr>
                <w:rFonts w:hint="eastAsia" w:ascii="宋体" w:hAnsi="宋体"/>
              </w:rPr>
            </w:pPr>
          </w:p>
        </w:tc>
        <w:tc>
          <w:tcPr>
            <w:tcW w:w="753" w:type="pct"/>
            <w:vAlign w:val="center"/>
          </w:tcPr>
          <w:p w14:paraId="4E2D9B70">
            <w:pPr>
              <w:autoSpaceDE w:val="0"/>
              <w:autoSpaceDN w:val="0"/>
              <w:jc w:val="center"/>
              <w:rPr>
                <w:rFonts w:hint="eastAsia" w:ascii="宋体" w:hAnsi="宋体"/>
              </w:rPr>
            </w:pPr>
          </w:p>
        </w:tc>
        <w:tc>
          <w:tcPr>
            <w:tcW w:w="644" w:type="pct"/>
          </w:tcPr>
          <w:p w14:paraId="46B107B5">
            <w:pPr>
              <w:autoSpaceDE w:val="0"/>
              <w:autoSpaceDN w:val="0"/>
              <w:jc w:val="center"/>
              <w:rPr>
                <w:rFonts w:hint="eastAsia" w:ascii="宋体" w:hAnsi="宋体"/>
              </w:rPr>
            </w:pPr>
          </w:p>
        </w:tc>
      </w:tr>
      <w:tr w14:paraId="2B75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376" w:type="pct"/>
            <w:vAlign w:val="center"/>
          </w:tcPr>
          <w:p w14:paraId="51364A81">
            <w:pPr>
              <w:autoSpaceDE w:val="0"/>
              <w:autoSpaceDN w:val="0"/>
              <w:jc w:val="center"/>
              <w:rPr>
                <w:rFonts w:hint="eastAsia" w:ascii="宋体" w:hAnsi="宋体"/>
              </w:rPr>
            </w:pPr>
            <w:r>
              <w:rPr>
                <w:rFonts w:ascii="宋体" w:hAnsi="宋体"/>
              </w:rPr>
              <w:t>……</w:t>
            </w:r>
          </w:p>
        </w:tc>
        <w:tc>
          <w:tcPr>
            <w:tcW w:w="1263" w:type="pct"/>
            <w:vAlign w:val="center"/>
          </w:tcPr>
          <w:p w14:paraId="2AD52742">
            <w:pPr>
              <w:autoSpaceDE w:val="0"/>
              <w:autoSpaceDN w:val="0"/>
              <w:jc w:val="center"/>
              <w:rPr>
                <w:rFonts w:hint="eastAsia" w:ascii="宋体" w:hAnsi="宋体"/>
              </w:rPr>
            </w:pPr>
          </w:p>
        </w:tc>
        <w:tc>
          <w:tcPr>
            <w:tcW w:w="1131" w:type="pct"/>
            <w:vAlign w:val="center"/>
          </w:tcPr>
          <w:p w14:paraId="4E4FD423">
            <w:pPr>
              <w:autoSpaceDE w:val="0"/>
              <w:autoSpaceDN w:val="0"/>
              <w:jc w:val="center"/>
              <w:rPr>
                <w:rFonts w:hint="eastAsia" w:ascii="宋体" w:hAnsi="宋体"/>
              </w:rPr>
            </w:pPr>
          </w:p>
        </w:tc>
        <w:tc>
          <w:tcPr>
            <w:tcW w:w="830" w:type="pct"/>
            <w:vAlign w:val="center"/>
          </w:tcPr>
          <w:p w14:paraId="678A0F4A">
            <w:pPr>
              <w:autoSpaceDE w:val="0"/>
              <w:autoSpaceDN w:val="0"/>
              <w:jc w:val="center"/>
              <w:rPr>
                <w:rFonts w:hint="eastAsia" w:ascii="宋体" w:hAnsi="宋体"/>
              </w:rPr>
            </w:pPr>
          </w:p>
        </w:tc>
        <w:tc>
          <w:tcPr>
            <w:tcW w:w="753" w:type="pct"/>
            <w:vAlign w:val="center"/>
          </w:tcPr>
          <w:p w14:paraId="36797C26">
            <w:pPr>
              <w:autoSpaceDE w:val="0"/>
              <w:autoSpaceDN w:val="0"/>
              <w:jc w:val="center"/>
              <w:rPr>
                <w:rFonts w:hint="eastAsia" w:ascii="宋体" w:hAnsi="宋体"/>
              </w:rPr>
            </w:pPr>
          </w:p>
        </w:tc>
        <w:tc>
          <w:tcPr>
            <w:tcW w:w="644" w:type="pct"/>
          </w:tcPr>
          <w:p w14:paraId="6D9C97B7">
            <w:pPr>
              <w:autoSpaceDE w:val="0"/>
              <w:autoSpaceDN w:val="0"/>
              <w:jc w:val="center"/>
              <w:rPr>
                <w:rFonts w:hint="eastAsia" w:ascii="宋体" w:hAnsi="宋体"/>
              </w:rPr>
            </w:pPr>
          </w:p>
        </w:tc>
      </w:tr>
    </w:tbl>
    <w:p w14:paraId="4D1DD864">
      <w:pPr>
        <w:pStyle w:val="14"/>
        <w:adjustRightInd w:val="0"/>
        <w:snapToGrid w:val="0"/>
        <w:spacing w:line="560" w:lineRule="exact"/>
        <w:ind w:firstLine="0" w:firstLineChars="0"/>
        <w:outlineLvl w:val="9"/>
        <w:rPr>
          <w:rFonts w:hint="eastAsia" w:ascii="宋体" w:hAnsi="宋体" w:eastAsia="宋体"/>
          <w:sz w:val="21"/>
        </w:rPr>
      </w:pPr>
      <w:r>
        <w:rPr>
          <w:rFonts w:hint="eastAsia" w:ascii="宋体" w:hAnsi="宋体" w:eastAsia="宋体"/>
          <w:sz w:val="21"/>
        </w:rPr>
        <w:t xml:space="preserve">供应商名称（加盖公章）：                                   </w:t>
      </w:r>
    </w:p>
    <w:p w14:paraId="0D0349E6">
      <w:pPr>
        <w:pStyle w:val="14"/>
        <w:adjustRightInd w:val="0"/>
        <w:snapToGrid w:val="0"/>
        <w:spacing w:line="560" w:lineRule="exact"/>
        <w:ind w:firstLine="0" w:firstLineChars="0"/>
        <w:outlineLvl w:val="9"/>
        <w:rPr>
          <w:rFonts w:hint="eastAsia" w:ascii="宋体" w:hAnsi="宋体" w:eastAsia="宋体"/>
          <w:sz w:val="21"/>
        </w:rPr>
      </w:pPr>
      <w:r>
        <w:rPr>
          <w:rFonts w:hint="eastAsia" w:ascii="宋体" w:hAnsi="宋体" w:eastAsia="宋体"/>
          <w:sz w:val="21"/>
        </w:rPr>
        <w:t xml:space="preserve">供应商法定代表人或授权代表（签字或盖章）：                 </w:t>
      </w:r>
    </w:p>
    <w:p w14:paraId="5236C0AA">
      <w:pPr>
        <w:pStyle w:val="14"/>
        <w:adjustRightInd w:val="0"/>
        <w:snapToGrid w:val="0"/>
        <w:spacing w:line="560" w:lineRule="exact"/>
        <w:ind w:firstLine="0" w:firstLineChars="0"/>
        <w:outlineLvl w:val="9"/>
        <w:rPr>
          <w:rFonts w:hint="eastAsia" w:ascii="宋体" w:hAnsi="宋体" w:eastAsia="宋体"/>
          <w:sz w:val="21"/>
        </w:rPr>
      </w:pPr>
      <w:r>
        <w:rPr>
          <w:rFonts w:hint="eastAsia" w:ascii="宋体" w:hAnsi="宋体" w:eastAsia="宋体"/>
          <w:sz w:val="21"/>
        </w:rPr>
        <w:t>日期：        年    月    日</w:t>
      </w:r>
    </w:p>
    <w:p w14:paraId="198A17DF">
      <w:pPr>
        <w:pStyle w:val="14"/>
        <w:adjustRightInd w:val="0"/>
        <w:snapToGrid w:val="0"/>
        <w:spacing w:line="560" w:lineRule="exact"/>
        <w:ind w:firstLine="382"/>
        <w:outlineLvl w:val="9"/>
        <w:rPr>
          <w:rFonts w:hint="eastAsia" w:ascii="宋体" w:hAnsi="宋体" w:eastAsia="宋体"/>
          <w:sz w:val="21"/>
        </w:rPr>
      </w:pPr>
      <w:r>
        <w:rPr>
          <w:rFonts w:hint="eastAsia" w:ascii="宋体" w:hAnsi="宋体" w:eastAsia="宋体"/>
          <w:sz w:val="21"/>
        </w:rPr>
        <w:t>说明：响应人应对采购文件用户需求书中“三、技术参数”各技术条款逐一如实填写上表，响应人应当如实填写上表内容，对采购文件提出的要求和条件作出明确响应，并列明具体响应数值或内容，不能照搬采购文件的内容，仅注明符合、满足等无具体内容表述的，将可能被视为未实质性满足采购文件要求。响应人需要说明的内容若需特殊表达，应先在本表中进行相应说明，再另页应答。</w:t>
      </w:r>
    </w:p>
    <w:p w14:paraId="61C27EE1">
      <w:pPr>
        <w:pStyle w:val="14"/>
        <w:adjustRightInd w:val="0"/>
        <w:snapToGrid w:val="0"/>
        <w:spacing w:line="560" w:lineRule="exact"/>
        <w:ind w:firstLine="382"/>
        <w:outlineLvl w:val="9"/>
        <w:rPr>
          <w:rFonts w:hint="eastAsia" w:ascii="宋体" w:hAnsi="宋体" w:eastAsia="宋体"/>
          <w:sz w:val="21"/>
        </w:rPr>
      </w:pPr>
      <w:r>
        <w:rPr>
          <w:rFonts w:hint="eastAsia" w:ascii="宋体" w:hAnsi="宋体" w:eastAsia="宋体"/>
          <w:sz w:val="21"/>
        </w:rPr>
        <w:t>上表中“是否偏离”应按下列规定填写：优于的，填写“正偏离”；符合的，填写“无偏离”；低于的，填写“负偏离”。“正偏离”或“负偏离”应在“偏离说明”列中进行说明。</w:t>
      </w:r>
    </w:p>
    <w:p w14:paraId="7D8A78C4">
      <w:pPr>
        <w:pStyle w:val="14"/>
        <w:adjustRightInd w:val="0"/>
        <w:snapToGrid w:val="0"/>
        <w:spacing w:line="560" w:lineRule="exact"/>
        <w:ind w:firstLine="382"/>
        <w:outlineLvl w:val="9"/>
        <w:rPr>
          <w:rFonts w:hint="eastAsia" w:ascii="宋体" w:hAnsi="宋体" w:eastAsia="宋体"/>
          <w:sz w:val="21"/>
        </w:rPr>
      </w:pPr>
      <w:r>
        <w:rPr>
          <w:rFonts w:hint="eastAsia" w:ascii="宋体" w:hAnsi="宋体" w:eastAsia="宋体"/>
          <w:sz w:val="21"/>
        </w:rPr>
        <w:t>采购文件中带“▲”的重要性条款（如有），响应人须标识清楚。</w:t>
      </w:r>
    </w:p>
    <w:p w14:paraId="44480125">
      <w:pPr>
        <w:pStyle w:val="3"/>
        <w:spacing w:line="560" w:lineRule="exact"/>
        <w:rPr>
          <w:rFonts w:hint="eastAsia" w:ascii="方正小标宋简体" w:hAnsi="方正小标宋简体" w:eastAsia="方正小标宋简体" w:cs="方正小标宋简体"/>
          <w:sz w:val="44"/>
          <w:szCs w:val="44"/>
        </w:rPr>
      </w:pPr>
      <w:r>
        <w:rPr>
          <w:rFonts w:hint="eastAsia"/>
        </w:rPr>
        <w:br w:type="page"/>
      </w:r>
      <w:bookmarkStart w:id="152" w:name="_Toc10102"/>
      <w:bookmarkStart w:id="153" w:name="_Toc237415696"/>
      <w:r>
        <w:rPr>
          <w:rFonts w:hint="eastAsia" w:ascii="方正小标宋简体" w:hAnsi="方正小标宋简体" w:eastAsia="方正小标宋简体" w:cs="方正小标宋简体"/>
          <w:sz w:val="44"/>
          <w:szCs w:val="44"/>
        </w:rPr>
        <w:t>第三项 综合评比部分</w:t>
      </w:r>
      <w:bookmarkEnd w:id="152"/>
      <w:bookmarkEnd w:id="153"/>
    </w:p>
    <w:p w14:paraId="1960D1B8">
      <w:pPr>
        <w:pStyle w:val="14"/>
        <w:adjustRightInd w:val="0"/>
        <w:snapToGrid w:val="0"/>
        <w:spacing w:line="560" w:lineRule="exact"/>
        <w:ind w:firstLine="0" w:firstLineChars="0"/>
        <w:outlineLvl w:val="9"/>
        <w:rPr>
          <w:rFonts w:ascii="Arial Unicode MS" w:hAnsi="Arial Unicode MS" w:eastAsia="宋体" w:cs="宋体"/>
          <w:sz w:val="24"/>
          <w:u w:val="single"/>
        </w:rPr>
      </w:pPr>
    </w:p>
    <w:p w14:paraId="325A3B30">
      <w:pPr>
        <w:widowControl/>
        <w:numPr>
          <w:ilvl w:val="3"/>
          <w:numId w:val="0"/>
        </w:numPr>
        <w:adjustRightInd w:val="0"/>
        <w:snapToGrid w:val="0"/>
        <w:spacing w:line="560" w:lineRule="exact"/>
        <w:ind w:firstLine="442" w:firstLineChars="200"/>
        <w:jc w:val="left"/>
        <w:rPr>
          <w:rFonts w:ascii="仿宋_GB2312" w:hAnsi="仿宋_GB2312" w:eastAsia="仿宋_GB2312" w:cs="仿宋_GB2312"/>
          <w:sz w:val="24"/>
        </w:rPr>
      </w:pPr>
      <w:r>
        <w:rPr>
          <w:rFonts w:hint="eastAsia" w:ascii="仿宋_GB2312" w:hAnsi="仿宋_GB2312" w:eastAsia="仿宋_GB2312" w:cs="仿宋_GB2312"/>
          <w:sz w:val="24"/>
        </w:rPr>
        <w:t>1.所投货物对用户需求书中带▲号的重要技术参数的符合性（参照附件《需求响应表》填写。）</w:t>
      </w:r>
    </w:p>
    <w:p w14:paraId="4A9D74E2">
      <w:pPr>
        <w:widowControl/>
        <w:numPr>
          <w:ilvl w:val="3"/>
          <w:numId w:val="0"/>
        </w:numPr>
        <w:adjustRightInd w:val="0"/>
        <w:snapToGrid w:val="0"/>
        <w:spacing w:line="560" w:lineRule="exact"/>
        <w:ind w:firstLine="442" w:firstLineChars="200"/>
        <w:jc w:val="left"/>
        <w:rPr>
          <w:rFonts w:ascii="仿宋_GB2312" w:hAnsi="仿宋_GB2312" w:eastAsia="仿宋_GB2312" w:cs="仿宋_GB2312"/>
          <w:sz w:val="24"/>
        </w:rPr>
      </w:pPr>
      <w:r>
        <w:rPr>
          <w:rFonts w:hint="eastAsia" w:ascii="仿宋_GB2312" w:hAnsi="仿宋_GB2312" w:eastAsia="仿宋_GB2312" w:cs="仿宋_GB2312"/>
          <w:sz w:val="24"/>
        </w:rPr>
        <w:t>2.所投货物技术参数及性能与技术参数要求、用户需求书的符合性（参照附件《需求响应表》填写。）</w:t>
      </w:r>
    </w:p>
    <w:p w14:paraId="1599D0C7">
      <w:pPr>
        <w:widowControl/>
        <w:numPr>
          <w:ilvl w:val="3"/>
          <w:numId w:val="0"/>
        </w:numPr>
        <w:adjustRightInd w:val="0"/>
        <w:snapToGrid w:val="0"/>
        <w:spacing w:line="560" w:lineRule="exact"/>
        <w:ind w:firstLine="442" w:firstLineChars="200"/>
        <w:jc w:val="left"/>
        <w:rPr>
          <w:rFonts w:ascii="仿宋_GB2312" w:hAnsi="仿宋_GB2312" w:eastAsia="仿宋_GB2312" w:cs="仿宋_GB2312"/>
          <w:sz w:val="24"/>
        </w:rPr>
      </w:pPr>
      <w:r>
        <w:rPr>
          <w:rFonts w:hint="eastAsia" w:ascii="仿宋_GB2312" w:hAnsi="仿宋_GB2312" w:eastAsia="仿宋_GB2312" w:cs="仿宋_GB2312"/>
          <w:sz w:val="24"/>
        </w:rPr>
        <w:t>3.质量保证及售后服务：相关内容供应商根据竞磋文件要求，结合本项目的特点和要求自行编制。</w:t>
      </w:r>
    </w:p>
    <w:p w14:paraId="48EB317E">
      <w:pPr>
        <w:widowControl/>
        <w:numPr>
          <w:ilvl w:val="3"/>
          <w:numId w:val="0"/>
        </w:numPr>
        <w:adjustRightInd w:val="0"/>
        <w:snapToGrid w:val="0"/>
        <w:spacing w:line="560" w:lineRule="exact"/>
        <w:ind w:firstLine="442" w:firstLineChars="200"/>
        <w:jc w:val="left"/>
        <w:rPr>
          <w:rFonts w:ascii="仿宋_GB2312" w:hAnsi="仿宋_GB2312" w:eastAsia="仿宋_GB2312" w:cs="仿宋_GB2312"/>
          <w:sz w:val="24"/>
        </w:rPr>
      </w:pPr>
      <w:r>
        <w:rPr>
          <w:rFonts w:hint="eastAsia" w:ascii="仿宋_GB2312" w:hAnsi="仿宋_GB2312" w:eastAsia="仿宋_GB2312" w:cs="仿宋_GB2312"/>
          <w:sz w:val="24"/>
        </w:rPr>
        <w:t>4.供应商供货业绩：相关内容供应商根据竞磋文件要求，结合本项目的特点和要求自行编制。</w:t>
      </w:r>
    </w:p>
    <w:p w14:paraId="01D68864">
      <w:pPr>
        <w:widowControl/>
        <w:numPr>
          <w:ilvl w:val="3"/>
          <w:numId w:val="0"/>
        </w:numPr>
        <w:adjustRightInd w:val="0"/>
        <w:snapToGrid w:val="0"/>
        <w:spacing w:line="560" w:lineRule="exact"/>
        <w:ind w:firstLine="442" w:firstLineChars="200"/>
        <w:jc w:val="left"/>
        <w:rPr>
          <w:rFonts w:ascii="仿宋_GB2312" w:hAnsi="仿宋_GB2312" w:eastAsia="仿宋_GB2312" w:cs="仿宋_GB2312"/>
          <w:sz w:val="24"/>
        </w:rPr>
      </w:pPr>
      <w:r>
        <w:rPr>
          <w:rFonts w:hint="eastAsia" w:ascii="仿宋_GB2312" w:hAnsi="仿宋_GB2312" w:eastAsia="仿宋_GB2312" w:cs="仿宋_GB2312"/>
          <w:sz w:val="24"/>
        </w:rPr>
        <w:t>5.所投产品同品牌同型号货物供货情况：相关内容供应商根据竞磋文件要求，结合本项目的特点和要求自行编制。</w:t>
      </w:r>
    </w:p>
    <w:p w14:paraId="1E3B2119">
      <w:pPr>
        <w:widowControl/>
        <w:numPr>
          <w:ilvl w:val="3"/>
          <w:numId w:val="0"/>
        </w:numPr>
        <w:adjustRightInd w:val="0"/>
        <w:snapToGrid w:val="0"/>
        <w:spacing w:line="560" w:lineRule="exact"/>
        <w:ind w:firstLine="442" w:firstLineChars="200"/>
        <w:jc w:val="left"/>
        <w:rPr>
          <w:rFonts w:ascii="仿宋_GB2312" w:hAnsi="仿宋_GB2312" w:eastAsia="仿宋_GB2312" w:cs="仿宋_GB2312"/>
          <w:sz w:val="24"/>
        </w:rPr>
      </w:pPr>
      <w:r>
        <w:rPr>
          <w:rFonts w:hint="eastAsia" w:ascii="仿宋_GB2312" w:hAnsi="仿宋_GB2312" w:eastAsia="仿宋_GB2312" w:cs="仿宋_GB2312"/>
          <w:sz w:val="24"/>
        </w:rPr>
        <w:t>6.投标报价</w:t>
      </w:r>
    </w:p>
    <w:p w14:paraId="5D717B79">
      <w:pPr>
        <w:pStyle w:val="4"/>
        <w:adjustRightInd w:val="0"/>
        <w:snapToGrid w:val="0"/>
        <w:spacing w:line="560" w:lineRule="exact"/>
        <w:jc w:val="center"/>
        <w:rPr>
          <w:rFonts w:ascii="Arial Unicode MS" w:hAnsi="Arial Unicode MS"/>
          <w:sz w:val="24"/>
          <w:szCs w:val="20"/>
        </w:rPr>
      </w:pPr>
      <w:bookmarkStart w:id="154" w:name="_Toc237415697"/>
      <w:bookmarkStart w:id="155" w:name="_Toc16023"/>
      <w:r>
        <w:rPr>
          <w:rFonts w:hint="eastAsia" w:ascii="Arial Unicode MS" w:hAnsi="Arial Unicode MS" w:cs="宋体"/>
          <w:b/>
          <w:sz w:val="44"/>
          <w:szCs w:val="52"/>
        </w:rPr>
        <w:t>医疗设备报价表</w:t>
      </w:r>
      <w:bookmarkEnd w:id="154"/>
      <w:bookmarkEnd w:id="155"/>
    </w:p>
    <w:tbl>
      <w:tblPr>
        <w:tblStyle w:val="3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1098"/>
        <w:gridCol w:w="497"/>
        <w:gridCol w:w="497"/>
        <w:gridCol w:w="498"/>
        <w:gridCol w:w="799"/>
        <w:gridCol w:w="799"/>
        <w:gridCol w:w="595"/>
        <w:gridCol w:w="595"/>
        <w:gridCol w:w="1019"/>
        <w:gridCol w:w="1019"/>
        <w:gridCol w:w="1019"/>
        <w:gridCol w:w="452"/>
      </w:tblGrid>
      <w:tr w14:paraId="6CA44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202" w:type="pct"/>
            <w:tcBorders>
              <w:top w:val="single" w:color="auto" w:sz="12" w:space="0"/>
              <w:left w:val="single" w:color="auto" w:sz="12" w:space="0"/>
              <w:bottom w:val="double" w:color="auto" w:sz="2" w:space="0"/>
              <w:right w:val="single" w:color="auto" w:sz="4" w:space="0"/>
            </w:tcBorders>
            <w:shd w:val="clear" w:color="auto" w:fill="EEECE1"/>
            <w:vAlign w:val="center"/>
          </w:tcPr>
          <w:p w14:paraId="659AB50F">
            <w:pPr>
              <w:widowControl/>
              <w:snapToGrid w:val="0"/>
              <w:spacing w:line="360" w:lineRule="atLeast"/>
              <w:jc w:val="center"/>
              <w:textAlignment w:val="baseline"/>
              <w:rPr>
                <w:rFonts w:hint="eastAsia" w:ascii="宋体" w:hAnsi="宋体"/>
                <w:sz w:val="24"/>
              </w:rPr>
            </w:pPr>
            <w:r>
              <w:rPr>
                <w:rFonts w:hint="eastAsia" w:ascii="宋体" w:hAnsi="宋体"/>
                <w:sz w:val="24"/>
              </w:rPr>
              <w:t>序号</w:t>
            </w:r>
          </w:p>
        </w:tc>
        <w:tc>
          <w:tcPr>
            <w:tcW w:w="591" w:type="pct"/>
            <w:tcBorders>
              <w:top w:val="single" w:color="auto" w:sz="12" w:space="0"/>
              <w:left w:val="single" w:color="auto" w:sz="4" w:space="0"/>
              <w:bottom w:val="double" w:color="auto" w:sz="2" w:space="0"/>
              <w:right w:val="single" w:color="auto" w:sz="4" w:space="0"/>
            </w:tcBorders>
            <w:shd w:val="clear" w:color="auto" w:fill="EEECE1"/>
            <w:vAlign w:val="center"/>
          </w:tcPr>
          <w:p w14:paraId="7B20F40F">
            <w:pPr>
              <w:widowControl/>
              <w:snapToGrid w:val="0"/>
              <w:spacing w:line="360" w:lineRule="atLeast"/>
              <w:jc w:val="center"/>
              <w:textAlignment w:val="baseline"/>
              <w:rPr>
                <w:rFonts w:hint="eastAsia" w:ascii="宋体" w:hAnsi="宋体"/>
                <w:sz w:val="24"/>
              </w:rPr>
            </w:pPr>
            <w:r>
              <w:rPr>
                <w:rFonts w:hint="eastAsia" w:ascii="宋体" w:hAnsi="宋体"/>
                <w:sz w:val="24"/>
              </w:rPr>
              <w:t>产品</w:t>
            </w:r>
          </w:p>
          <w:p w14:paraId="3A3FEE11">
            <w:pPr>
              <w:widowControl/>
              <w:snapToGrid w:val="0"/>
              <w:spacing w:line="360" w:lineRule="atLeast"/>
              <w:jc w:val="center"/>
              <w:textAlignment w:val="baseline"/>
              <w:rPr>
                <w:rFonts w:hint="eastAsia" w:ascii="宋体" w:hAnsi="宋体"/>
                <w:sz w:val="24"/>
              </w:rPr>
            </w:pPr>
            <w:r>
              <w:rPr>
                <w:rFonts w:hint="eastAsia" w:ascii="宋体" w:hAnsi="宋体"/>
                <w:sz w:val="24"/>
              </w:rPr>
              <w:t>名称</w:t>
            </w:r>
          </w:p>
        </w:tc>
        <w:tc>
          <w:tcPr>
            <w:tcW w:w="269" w:type="pct"/>
            <w:tcBorders>
              <w:top w:val="single" w:color="auto" w:sz="12" w:space="0"/>
              <w:left w:val="single" w:color="auto" w:sz="4" w:space="0"/>
              <w:bottom w:val="double" w:color="auto" w:sz="2" w:space="0"/>
              <w:right w:val="single" w:color="auto" w:sz="4" w:space="0"/>
            </w:tcBorders>
            <w:shd w:val="clear" w:color="auto" w:fill="EEECE1"/>
            <w:vAlign w:val="center"/>
          </w:tcPr>
          <w:p w14:paraId="419CDD83">
            <w:pPr>
              <w:widowControl/>
              <w:snapToGrid w:val="0"/>
              <w:spacing w:line="360" w:lineRule="atLeast"/>
              <w:jc w:val="center"/>
              <w:textAlignment w:val="baseline"/>
              <w:rPr>
                <w:rFonts w:hint="eastAsia" w:ascii="宋体" w:hAnsi="宋体"/>
                <w:sz w:val="24"/>
              </w:rPr>
            </w:pPr>
            <w:r>
              <w:rPr>
                <w:rFonts w:hint="eastAsia" w:ascii="宋体" w:hAnsi="宋体"/>
                <w:sz w:val="24"/>
              </w:rPr>
              <w:t>品牌</w:t>
            </w:r>
          </w:p>
        </w:tc>
        <w:tc>
          <w:tcPr>
            <w:tcW w:w="269" w:type="pct"/>
            <w:tcBorders>
              <w:top w:val="single" w:color="auto" w:sz="12" w:space="0"/>
              <w:left w:val="single" w:color="auto" w:sz="4" w:space="0"/>
              <w:bottom w:val="double" w:color="auto" w:sz="2" w:space="0"/>
              <w:right w:val="single" w:color="auto" w:sz="4" w:space="0"/>
            </w:tcBorders>
            <w:shd w:val="clear" w:color="auto" w:fill="EEECE1"/>
            <w:vAlign w:val="center"/>
          </w:tcPr>
          <w:p w14:paraId="39EAD48A">
            <w:pPr>
              <w:widowControl/>
              <w:snapToGrid w:val="0"/>
              <w:spacing w:line="360" w:lineRule="atLeast"/>
              <w:jc w:val="center"/>
              <w:textAlignment w:val="baseline"/>
              <w:rPr>
                <w:rFonts w:hint="eastAsia" w:ascii="宋体" w:hAnsi="宋体"/>
                <w:sz w:val="24"/>
              </w:rPr>
            </w:pPr>
            <w:r>
              <w:rPr>
                <w:rFonts w:hint="eastAsia" w:ascii="宋体" w:hAnsi="宋体"/>
                <w:sz w:val="24"/>
              </w:rPr>
              <w:t>规格</w:t>
            </w:r>
          </w:p>
        </w:tc>
        <w:tc>
          <w:tcPr>
            <w:tcW w:w="270" w:type="pct"/>
            <w:tcBorders>
              <w:top w:val="single" w:color="auto" w:sz="12" w:space="0"/>
              <w:left w:val="single" w:color="auto" w:sz="4" w:space="0"/>
              <w:bottom w:val="double" w:color="auto" w:sz="2" w:space="0"/>
              <w:right w:val="single" w:color="auto" w:sz="4" w:space="0"/>
            </w:tcBorders>
            <w:shd w:val="clear" w:color="auto" w:fill="EEECE1"/>
            <w:vAlign w:val="center"/>
          </w:tcPr>
          <w:p w14:paraId="00E885D5">
            <w:pPr>
              <w:widowControl/>
              <w:snapToGrid w:val="0"/>
              <w:spacing w:line="360" w:lineRule="atLeast"/>
              <w:jc w:val="center"/>
              <w:textAlignment w:val="baseline"/>
              <w:rPr>
                <w:rFonts w:hint="eastAsia" w:ascii="宋体" w:hAnsi="宋体"/>
                <w:sz w:val="24"/>
              </w:rPr>
            </w:pPr>
            <w:r>
              <w:rPr>
                <w:rFonts w:hint="eastAsia" w:ascii="宋体" w:hAnsi="宋体"/>
                <w:sz w:val="24"/>
              </w:rPr>
              <w:t>型号</w:t>
            </w:r>
          </w:p>
        </w:tc>
        <w:tc>
          <w:tcPr>
            <w:tcW w:w="431" w:type="pct"/>
            <w:tcBorders>
              <w:top w:val="single" w:color="auto" w:sz="12" w:space="0"/>
              <w:left w:val="single" w:color="auto" w:sz="4" w:space="0"/>
              <w:bottom w:val="double" w:color="auto" w:sz="2" w:space="0"/>
              <w:right w:val="single" w:color="auto" w:sz="4" w:space="0"/>
            </w:tcBorders>
            <w:shd w:val="clear" w:color="auto" w:fill="EEECE1"/>
            <w:vAlign w:val="center"/>
          </w:tcPr>
          <w:p w14:paraId="7362EBBB">
            <w:pPr>
              <w:widowControl/>
              <w:snapToGrid w:val="0"/>
              <w:spacing w:line="360" w:lineRule="atLeast"/>
              <w:jc w:val="center"/>
              <w:textAlignment w:val="baseline"/>
              <w:rPr>
                <w:rFonts w:hint="eastAsia" w:ascii="宋体" w:hAnsi="宋体"/>
                <w:sz w:val="24"/>
              </w:rPr>
            </w:pPr>
            <w:r>
              <w:rPr>
                <w:rFonts w:hint="eastAsia" w:ascii="宋体" w:hAnsi="宋体"/>
                <w:sz w:val="24"/>
              </w:rPr>
              <w:t>制造商</w:t>
            </w:r>
          </w:p>
          <w:p w14:paraId="34FA5D58">
            <w:pPr>
              <w:widowControl/>
              <w:snapToGrid w:val="0"/>
              <w:spacing w:line="360" w:lineRule="atLeast"/>
              <w:jc w:val="center"/>
              <w:textAlignment w:val="baseline"/>
              <w:rPr>
                <w:rFonts w:hint="eastAsia" w:ascii="宋体" w:hAnsi="宋体"/>
                <w:sz w:val="24"/>
              </w:rPr>
            </w:pPr>
            <w:r>
              <w:rPr>
                <w:rFonts w:hint="eastAsia" w:ascii="宋体" w:hAnsi="宋体"/>
                <w:sz w:val="24"/>
              </w:rPr>
              <w:t>（生产者）</w:t>
            </w:r>
          </w:p>
        </w:tc>
        <w:tc>
          <w:tcPr>
            <w:tcW w:w="431" w:type="pct"/>
            <w:tcBorders>
              <w:top w:val="single" w:color="auto" w:sz="12" w:space="0"/>
              <w:left w:val="single" w:color="auto" w:sz="4" w:space="0"/>
              <w:bottom w:val="double" w:color="auto" w:sz="2" w:space="0"/>
              <w:right w:val="single" w:color="auto" w:sz="4" w:space="0"/>
            </w:tcBorders>
            <w:shd w:val="clear" w:color="auto" w:fill="EEECE1"/>
            <w:vAlign w:val="center"/>
          </w:tcPr>
          <w:p w14:paraId="03DBDA74">
            <w:pPr>
              <w:widowControl/>
              <w:snapToGrid w:val="0"/>
              <w:spacing w:line="360" w:lineRule="atLeast"/>
              <w:jc w:val="center"/>
              <w:textAlignment w:val="baseline"/>
              <w:rPr>
                <w:rFonts w:hint="eastAsia" w:ascii="宋体" w:hAnsi="宋体"/>
                <w:sz w:val="24"/>
              </w:rPr>
            </w:pPr>
            <w:r>
              <w:rPr>
                <w:rFonts w:hint="eastAsia" w:ascii="宋体" w:hAnsi="宋体"/>
                <w:sz w:val="24"/>
              </w:rPr>
              <w:t>原产地</w:t>
            </w:r>
          </w:p>
        </w:tc>
        <w:tc>
          <w:tcPr>
            <w:tcW w:w="322" w:type="pct"/>
            <w:tcBorders>
              <w:top w:val="single" w:color="auto" w:sz="12" w:space="0"/>
              <w:left w:val="single" w:color="auto" w:sz="4" w:space="0"/>
              <w:bottom w:val="double" w:color="auto" w:sz="2" w:space="0"/>
              <w:right w:val="single" w:color="auto" w:sz="4" w:space="0"/>
            </w:tcBorders>
            <w:shd w:val="clear" w:color="auto" w:fill="EEECE1"/>
            <w:vAlign w:val="center"/>
          </w:tcPr>
          <w:p w14:paraId="245853AF">
            <w:pPr>
              <w:widowControl/>
              <w:snapToGrid w:val="0"/>
              <w:spacing w:line="360" w:lineRule="atLeast"/>
              <w:jc w:val="center"/>
              <w:textAlignment w:val="baseline"/>
              <w:rPr>
                <w:rFonts w:hint="eastAsia" w:ascii="宋体" w:hAnsi="宋体"/>
                <w:sz w:val="24"/>
              </w:rPr>
            </w:pPr>
            <w:r>
              <w:rPr>
                <w:rFonts w:hint="eastAsia" w:ascii="宋体" w:hAnsi="宋体"/>
                <w:sz w:val="24"/>
              </w:rPr>
              <w:t>单位</w:t>
            </w:r>
          </w:p>
        </w:tc>
        <w:tc>
          <w:tcPr>
            <w:tcW w:w="322" w:type="pct"/>
            <w:tcBorders>
              <w:top w:val="single" w:color="auto" w:sz="12" w:space="0"/>
              <w:left w:val="single" w:color="auto" w:sz="4" w:space="0"/>
              <w:bottom w:val="double" w:color="auto" w:sz="2" w:space="0"/>
              <w:right w:val="single" w:color="auto" w:sz="4" w:space="0"/>
            </w:tcBorders>
            <w:shd w:val="clear" w:color="auto" w:fill="EEECE1"/>
            <w:vAlign w:val="center"/>
          </w:tcPr>
          <w:p w14:paraId="6B8F153F">
            <w:pPr>
              <w:widowControl/>
              <w:snapToGrid w:val="0"/>
              <w:spacing w:line="360" w:lineRule="atLeast"/>
              <w:jc w:val="center"/>
              <w:textAlignment w:val="baseline"/>
              <w:rPr>
                <w:rFonts w:hint="eastAsia" w:ascii="宋体" w:hAnsi="宋体"/>
                <w:sz w:val="24"/>
              </w:rPr>
            </w:pPr>
            <w:r>
              <w:rPr>
                <w:rFonts w:hint="eastAsia" w:ascii="宋体" w:hAnsi="宋体"/>
                <w:sz w:val="24"/>
              </w:rPr>
              <w:t>数量</w:t>
            </w:r>
          </w:p>
        </w:tc>
        <w:tc>
          <w:tcPr>
            <w:tcW w:w="549" w:type="pct"/>
            <w:tcBorders>
              <w:top w:val="single" w:color="auto" w:sz="12" w:space="0"/>
              <w:left w:val="single" w:color="auto" w:sz="4" w:space="0"/>
              <w:bottom w:val="double" w:color="auto" w:sz="2" w:space="0"/>
              <w:right w:val="single" w:color="auto" w:sz="4" w:space="0"/>
            </w:tcBorders>
            <w:shd w:val="clear" w:color="auto" w:fill="EEECE1"/>
            <w:vAlign w:val="center"/>
          </w:tcPr>
          <w:p w14:paraId="6B2F0653">
            <w:pPr>
              <w:widowControl/>
              <w:snapToGrid w:val="0"/>
              <w:spacing w:line="360" w:lineRule="atLeast"/>
              <w:jc w:val="center"/>
              <w:textAlignment w:val="baseline"/>
              <w:rPr>
                <w:rFonts w:hint="eastAsia" w:ascii="宋体" w:hAnsi="宋体"/>
                <w:sz w:val="24"/>
              </w:rPr>
            </w:pPr>
            <w:r>
              <w:rPr>
                <w:rFonts w:hint="eastAsia" w:ascii="宋体" w:hAnsi="宋体"/>
                <w:sz w:val="24"/>
              </w:rPr>
              <w:t>单价（人民币 元）</w:t>
            </w:r>
          </w:p>
        </w:tc>
        <w:tc>
          <w:tcPr>
            <w:tcW w:w="549" w:type="pct"/>
            <w:tcBorders>
              <w:top w:val="single" w:color="auto" w:sz="12" w:space="0"/>
              <w:left w:val="single" w:color="auto" w:sz="4" w:space="0"/>
              <w:bottom w:val="double" w:color="auto" w:sz="2" w:space="0"/>
              <w:right w:val="single" w:color="auto" w:sz="4" w:space="0"/>
            </w:tcBorders>
            <w:shd w:val="clear" w:color="auto" w:fill="EEECE1"/>
            <w:vAlign w:val="center"/>
          </w:tcPr>
          <w:p w14:paraId="0612827C">
            <w:pPr>
              <w:widowControl/>
              <w:snapToGrid w:val="0"/>
              <w:spacing w:line="360" w:lineRule="atLeast"/>
              <w:jc w:val="center"/>
              <w:textAlignment w:val="baseline"/>
              <w:rPr>
                <w:rFonts w:hint="eastAsia" w:ascii="宋体" w:hAnsi="宋体"/>
                <w:sz w:val="24"/>
              </w:rPr>
            </w:pPr>
            <w:r>
              <w:rPr>
                <w:rFonts w:hint="eastAsia" w:ascii="宋体" w:hAnsi="宋体"/>
                <w:sz w:val="24"/>
              </w:rPr>
              <w:t>合计（人民币 元）</w:t>
            </w:r>
          </w:p>
        </w:tc>
        <w:tc>
          <w:tcPr>
            <w:tcW w:w="549" w:type="pct"/>
            <w:tcBorders>
              <w:top w:val="single" w:color="auto" w:sz="12" w:space="0"/>
              <w:left w:val="single" w:color="auto" w:sz="4" w:space="0"/>
              <w:bottom w:val="double" w:color="auto" w:sz="2" w:space="0"/>
              <w:right w:val="single" w:color="auto" w:sz="12" w:space="0"/>
            </w:tcBorders>
            <w:shd w:val="clear" w:color="auto" w:fill="EEECE1"/>
            <w:vAlign w:val="center"/>
          </w:tcPr>
          <w:p w14:paraId="0F248AEB">
            <w:pPr>
              <w:widowControl/>
              <w:snapToGrid w:val="0"/>
              <w:spacing w:line="360" w:lineRule="atLeast"/>
              <w:jc w:val="center"/>
              <w:textAlignment w:val="baseline"/>
              <w:rPr>
                <w:rFonts w:hint="eastAsia" w:ascii="宋体" w:hAnsi="宋体"/>
                <w:sz w:val="24"/>
              </w:rPr>
            </w:pPr>
            <w:r>
              <w:rPr>
                <w:rFonts w:hint="eastAsia" w:ascii="宋体" w:hAnsi="宋体"/>
                <w:sz w:val="24"/>
              </w:rPr>
              <w:t>单项最高限价（人民币 元）</w:t>
            </w:r>
          </w:p>
        </w:tc>
        <w:tc>
          <w:tcPr>
            <w:tcW w:w="245" w:type="pct"/>
            <w:tcBorders>
              <w:top w:val="single" w:color="auto" w:sz="12" w:space="0"/>
              <w:left w:val="single" w:color="auto" w:sz="4" w:space="0"/>
              <w:bottom w:val="double" w:color="auto" w:sz="2" w:space="0"/>
              <w:right w:val="single" w:color="auto" w:sz="12" w:space="0"/>
            </w:tcBorders>
            <w:shd w:val="clear" w:color="auto" w:fill="EEECE1"/>
            <w:vAlign w:val="center"/>
          </w:tcPr>
          <w:p w14:paraId="07F211DF">
            <w:pPr>
              <w:snapToGrid w:val="0"/>
              <w:spacing w:line="360" w:lineRule="atLeast"/>
              <w:jc w:val="center"/>
              <w:textAlignment w:val="baseline"/>
              <w:rPr>
                <w:rFonts w:hint="eastAsia" w:ascii="宋体" w:hAnsi="宋体"/>
                <w:sz w:val="24"/>
              </w:rPr>
            </w:pPr>
            <w:r>
              <w:rPr>
                <w:rFonts w:hint="eastAsia" w:ascii="宋体" w:hAnsi="宋体"/>
                <w:sz w:val="24"/>
              </w:rPr>
              <w:t>备注</w:t>
            </w:r>
          </w:p>
        </w:tc>
      </w:tr>
      <w:tr w14:paraId="0ADB6B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02" w:type="pct"/>
            <w:tcBorders>
              <w:top w:val="single" w:color="auto" w:sz="4" w:space="0"/>
              <w:left w:val="single" w:color="auto" w:sz="12" w:space="0"/>
              <w:bottom w:val="single" w:color="auto" w:sz="4" w:space="0"/>
              <w:right w:val="single" w:color="auto" w:sz="4" w:space="0"/>
            </w:tcBorders>
            <w:vAlign w:val="center"/>
          </w:tcPr>
          <w:p w14:paraId="75B18EED">
            <w:pPr>
              <w:widowControl/>
              <w:snapToGrid w:val="0"/>
              <w:jc w:val="center"/>
              <w:textAlignment w:val="center"/>
              <w:rPr>
                <w:rFonts w:hint="eastAsia" w:ascii="宋体" w:hAnsi="宋体"/>
                <w:sz w:val="24"/>
              </w:rPr>
            </w:pPr>
          </w:p>
        </w:tc>
        <w:tc>
          <w:tcPr>
            <w:tcW w:w="591" w:type="pct"/>
            <w:tcBorders>
              <w:top w:val="single" w:color="auto" w:sz="4" w:space="0"/>
              <w:left w:val="single" w:color="auto" w:sz="4" w:space="0"/>
              <w:bottom w:val="single" w:color="auto" w:sz="4" w:space="0"/>
              <w:right w:val="single" w:color="auto" w:sz="4" w:space="0"/>
            </w:tcBorders>
            <w:vAlign w:val="center"/>
          </w:tcPr>
          <w:p w14:paraId="37C5016D">
            <w:pPr>
              <w:snapToGrid w:val="0"/>
              <w:jc w:val="center"/>
              <w:rPr>
                <w:rFonts w:hint="eastAsia" w:ascii="宋体" w:hAnsi="宋体" w:cs="宋体"/>
                <w:bCs/>
                <w:color w:val="000000"/>
                <w:sz w:val="24"/>
              </w:rPr>
            </w:pPr>
          </w:p>
        </w:tc>
        <w:tc>
          <w:tcPr>
            <w:tcW w:w="269" w:type="pct"/>
            <w:tcBorders>
              <w:top w:val="single" w:color="auto" w:sz="4" w:space="0"/>
              <w:left w:val="single" w:color="auto" w:sz="4" w:space="0"/>
              <w:bottom w:val="single" w:color="auto" w:sz="4" w:space="0"/>
              <w:right w:val="single" w:color="auto" w:sz="4" w:space="0"/>
            </w:tcBorders>
            <w:vAlign w:val="center"/>
          </w:tcPr>
          <w:p w14:paraId="1BD478A8">
            <w:pPr>
              <w:spacing w:line="360" w:lineRule="atLeast"/>
              <w:jc w:val="center"/>
              <w:textAlignment w:val="baseline"/>
              <w:rPr>
                <w:sz w:val="24"/>
              </w:rPr>
            </w:pPr>
          </w:p>
        </w:tc>
        <w:tc>
          <w:tcPr>
            <w:tcW w:w="269" w:type="pct"/>
            <w:tcBorders>
              <w:top w:val="single" w:color="auto" w:sz="4" w:space="0"/>
              <w:left w:val="single" w:color="auto" w:sz="4" w:space="0"/>
              <w:bottom w:val="single" w:color="auto" w:sz="4" w:space="0"/>
              <w:right w:val="single" w:color="auto" w:sz="4" w:space="0"/>
            </w:tcBorders>
            <w:vAlign w:val="center"/>
          </w:tcPr>
          <w:p w14:paraId="41259880">
            <w:pPr>
              <w:spacing w:line="360" w:lineRule="atLeast"/>
              <w:jc w:val="center"/>
              <w:textAlignment w:val="baseline"/>
              <w:rPr>
                <w:sz w:val="24"/>
              </w:rPr>
            </w:pPr>
          </w:p>
        </w:tc>
        <w:tc>
          <w:tcPr>
            <w:tcW w:w="270" w:type="pct"/>
            <w:tcBorders>
              <w:top w:val="single" w:color="auto" w:sz="4" w:space="0"/>
              <w:left w:val="single" w:color="auto" w:sz="4" w:space="0"/>
              <w:bottom w:val="single" w:color="auto" w:sz="4" w:space="0"/>
              <w:right w:val="single" w:color="auto" w:sz="4" w:space="0"/>
            </w:tcBorders>
          </w:tcPr>
          <w:p w14:paraId="5A584DAD">
            <w:pPr>
              <w:spacing w:line="360" w:lineRule="atLeast"/>
              <w:jc w:val="center"/>
              <w:textAlignment w:val="baseline"/>
              <w:rPr>
                <w:sz w:val="24"/>
              </w:rPr>
            </w:pPr>
          </w:p>
        </w:tc>
        <w:tc>
          <w:tcPr>
            <w:tcW w:w="431" w:type="pct"/>
            <w:tcBorders>
              <w:top w:val="single" w:color="auto" w:sz="4" w:space="0"/>
              <w:left w:val="single" w:color="auto" w:sz="4" w:space="0"/>
              <w:bottom w:val="single" w:color="auto" w:sz="4" w:space="0"/>
              <w:right w:val="single" w:color="auto" w:sz="4" w:space="0"/>
            </w:tcBorders>
          </w:tcPr>
          <w:p w14:paraId="08A8C443">
            <w:pPr>
              <w:spacing w:line="360" w:lineRule="atLeast"/>
              <w:jc w:val="center"/>
              <w:textAlignment w:val="baseline"/>
              <w:rPr>
                <w:sz w:val="24"/>
              </w:rPr>
            </w:pPr>
          </w:p>
        </w:tc>
        <w:tc>
          <w:tcPr>
            <w:tcW w:w="431" w:type="pct"/>
            <w:tcBorders>
              <w:top w:val="single" w:color="auto" w:sz="4" w:space="0"/>
              <w:left w:val="single" w:color="auto" w:sz="4" w:space="0"/>
              <w:bottom w:val="single" w:color="auto" w:sz="4" w:space="0"/>
              <w:right w:val="single" w:color="auto" w:sz="4" w:space="0"/>
            </w:tcBorders>
            <w:vAlign w:val="center"/>
          </w:tcPr>
          <w:p w14:paraId="4D7DECB8">
            <w:pPr>
              <w:spacing w:line="360" w:lineRule="atLeast"/>
              <w:jc w:val="center"/>
              <w:textAlignment w:val="baseline"/>
              <w:rPr>
                <w:sz w:val="24"/>
              </w:rPr>
            </w:pPr>
          </w:p>
        </w:tc>
        <w:tc>
          <w:tcPr>
            <w:tcW w:w="322" w:type="pct"/>
            <w:tcBorders>
              <w:top w:val="single" w:color="auto" w:sz="4" w:space="0"/>
              <w:left w:val="single" w:color="auto" w:sz="4" w:space="0"/>
              <w:bottom w:val="single" w:color="auto" w:sz="4" w:space="0"/>
              <w:right w:val="single" w:color="auto" w:sz="4" w:space="0"/>
            </w:tcBorders>
            <w:vAlign w:val="center"/>
          </w:tcPr>
          <w:p w14:paraId="72EF3964">
            <w:pPr>
              <w:snapToGrid w:val="0"/>
              <w:jc w:val="center"/>
              <w:rPr>
                <w:rFonts w:hint="eastAsia" w:ascii="宋体" w:hAnsi="宋体" w:cs="宋体"/>
                <w:bCs/>
                <w:sz w:val="24"/>
              </w:rPr>
            </w:pPr>
          </w:p>
        </w:tc>
        <w:tc>
          <w:tcPr>
            <w:tcW w:w="322" w:type="pct"/>
            <w:tcBorders>
              <w:top w:val="single" w:color="auto" w:sz="4" w:space="0"/>
              <w:left w:val="single" w:color="auto" w:sz="4" w:space="0"/>
              <w:bottom w:val="single" w:color="auto" w:sz="4" w:space="0"/>
              <w:right w:val="single" w:color="auto" w:sz="4" w:space="0"/>
            </w:tcBorders>
            <w:vAlign w:val="center"/>
          </w:tcPr>
          <w:p w14:paraId="5E799668">
            <w:pPr>
              <w:spacing w:line="360" w:lineRule="atLeast"/>
              <w:jc w:val="center"/>
              <w:textAlignment w:val="baseline"/>
              <w:rPr>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798BEEF7">
            <w:pPr>
              <w:spacing w:line="360" w:lineRule="atLeast"/>
              <w:jc w:val="center"/>
              <w:textAlignment w:val="baseline"/>
              <w:rPr>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085B7C1C">
            <w:pPr>
              <w:spacing w:line="360" w:lineRule="atLeast"/>
              <w:jc w:val="center"/>
              <w:textAlignment w:val="baseline"/>
              <w:rPr>
                <w:sz w:val="24"/>
              </w:rPr>
            </w:pPr>
          </w:p>
        </w:tc>
        <w:tc>
          <w:tcPr>
            <w:tcW w:w="549" w:type="pct"/>
            <w:tcBorders>
              <w:top w:val="single" w:color="auto" w:sz="4" w:space="0"/>
              <w:left w:val="single" w:color="auto" w:sz="4" w:space="0"/>
              <w:bottom w:val="single" w:color="auto" w:sz="4" w:space="0"/>
              <w:right w:val="single" w:color="auto" w:sz="12" w:space="0"/>
            </w:tcBorders>
            <w:vAlign w:val="center"/>
          </w:tcPr>
          <w:p w14:paraId="38B4F3BF">
            <w:pPr>
              <w:widowControl/>
              <w:jc w:val="right"/>
              <w:textAlignment w:val="center"/>
              <w:rPr>
                <w:rFonts w:hint="eastAsia" w:ascii="宋体" w:hAnsi="宋体" w:cs="宋体"/>
                <w:bCs/>
                <w:sz w:val="24"/>
                <w:highlight w:val="yellow"/>
              </w:rPr>
            </w:pPr>
          </w:p>
        </w:tc>
        <w:tc>
          <w:tcPr>
            <w:tcW w:w="245" w:type="pct"/>
            <w:tcBorders>
              <w:top w:val="single" w:color="auto" w:sz="4" w:space="0"/>
              <w:left w:val="single" w:color="auto" w:sz="4" w:space="0"/>
              <w:bottom w:val="single" w:color="auto" w:sz="4" w:space="0"/>
              <w:right w:val="single" w:color="auto" w:sz="12" w:space="0"/>
            </w:tcBorders>
            <w:vAlign w:val="center"/>
          </w:tcPr>
          <w:p w14:paraId="10F7BB5C">
            <w:pPr>
              <w:spacing w:line="360" w:lineRule="atLeast"/>
              <w:jc w:val="center"/>
              <w:textAlignment w:val="baseline"/>
              <w:rPr>
                <w:sz w:val="24"/>
              </w:rPr>
            </w:pPr>
          </w:p>
        </w:tc>
      </w:tr>
      <w:tr w14:paraId="6C9FB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02" w:type="pct"/>
            <w:tcBorders>
              <w:top w:val="single" w:color="auto" w:sz="4" w:space="0"/>
              <w:left w:val="single" w:color="auto" w:sz="12" w:space="0"/>
              <w:bottom w:val="single" w:color="auto" w:sz="4" w:space="0"/>
              <w:right w:val="single" w:color="auto" w:sz="4" w:space="0"/>
            </w:tcBorders>
            <w:vAlign w:val="center"/>
          </w:tcPr>
          <w:p w14:paraId="1EAA6986">
            <w:pPr>
              <w:widowControl/>
              <w:snapToGrid w:val="0"/>
              <w:jc w:val="center"/>
              <w:textAlignment w:val="center"/>
              <w:rPr>
                <w:rFonts w:hint="eastAsia" w:ascii="宋体" w:hAnsi="宋体"/>
                <w:sz w:val="24"/>
              </w:rPr>
            </w:pPr>
          </w:p>
        </w:tc>
        <w:tc>
          <w:tcPr>
            <w:tcW w:w="591" w:type="pct"/>
            <w:tcBorders>
              <w:top w:val="single" w:color="auto" w:sz="4" w:space="0"/>
              <w:left w:val="single" w:color="auto" w:sz="4" w:space="0"/>
              <w:bottom w:val="single" w:color="auto" w:sz="4" w:space="0"/>
              <w:right w:val="single" w:color="auto" w:sz="4" w:space="0"/>
            </w:tcBorders>
            <w:vAlign w:val="center"/>
          </w:tcPr>
          <w:p w14:paraId="0A9EEF8F">
            <w:pPr>
              <w:snapToGrid w:val="0"/>
              <w:jc w:val="center"/>
              <w:rPr>
                <w:rFonts w:hint="eastAsia" w:ascii="宋体" w:hAnsi="宋体" w:cs="宋体"/>
                <w:bCs/>
                <w:sz w:val="24"/>
              </w:rPr>
            </w:pPr>
          </w:p>
        </w:tc>
        <w:tc>
          <w:tcPr>
            <w:tcW w:w="269" w:type="pct"/>
            <w:tcBorders>
              <w:top w:val="single" w:color="auto" w:sz="4" w:space="0"/>
              <w:left w:val="single" w:color="auto" w:sz="4" w:space="0"/>
              <w:bottom w:val="single" w:color="auto" w:sz="4" w:space="0"/>
              <w:right w:val="single" w:color="auto" w:sz="4" w:space="0"/>
            </w:tcBorders>
            <w:vAlign w:val="center"/>
          </w:tcPr>
          <w:p w14:paraId="0E58E511">
            <w:pPr>
              <w:spacing w:line="360" w:lineRule="atLeast"/>
              <w:jc w:val="center"/>
              <w:textAlignment w:val="baseline"/>
              <w:rPr>
                <w:sz w:val="24"/>
              </w:rPr>
            </w:pPr>
          </w:p>
        </w:tc>
        <w:tc>
          <w:tcPr>
            <w:tcW w:w="269" w:type="pct"/>
            <w:tcBorders>
              <w:top w:val="single" w:color="auto" w:sz="4" w:space="0"/>
              <w:left w:val="single" w:color="auto" w:sz="4" w:space="0"/>
              <w:bottom w:val="single" w:color="auto" w:sz="4" w:space="0"/>
              <w:right w:val="single" w:color="auto" w:sz="4" w:space="0"/>
            </w:tcBorders>
            <w:vAlign w:val="center"/>
          </w:tcPr>
          <w:p w14:paraId="035885C9">
            <w:pPr>
              <w:spacing w:line="360" w:lineRule="atLeast"/>
              <w:jc w:val="center"/>
              <w:textAlignment w:val="baseline"/>
              <w:rPr>
                <w:sz w:val="24"/>
              </w:rPr>
            </w:pPr>
          </w:p>
        </w:tc>
        <w:tc>
          <w:tcPr>
            <w:tcW w:w="270" w:type="pct"/>
            <w:tcBorders>
              <w:top w:val="single" w:color="auto" w:sz="4" w:space="0"/>
              <w:left w:val="single" w:color="auto" w:sz="4" w:space="0"/>
              <w:bottom w:val="single" w:color="auto" w:sz="4" w:space="0"/>
              <w:right w:val="single" w:color="auto" w:sz="4" w:space="0"/>
            </w:tcBorders>
          </w:tcPr>
          <w:p w14:paraId="761123DE">
            <w:pPr>
              <w:spacing w:line="360" w:lineRule="atLeast"/>
              <w:jc w:val="center"/>
              <w:textAlignment w:val="baseline"/>
              <w:rPr>
                <w:sz w:val="24"/>
              </w:rPr>
            </w:pPr>
          </w:p>
        </w:tc>
        <w:tc>
          <w:tcPr>
            <w:tcW w:w="431" w:type="pct"/>
            <w:tcBorders>
              <w:top w:val="single" w:color="auto" w:sz="4" w:space="0"/>
              <w:left w:val="single" w:color="auto" w:sz="4" w:space="0"/>
              <w:bottom w:val="single" w:color="auto" w:sz="4" w:space="0"/>
              <w:right w:val="single" w:color="auto" w:sz="4" w:space="0"/>
            </w:tcBorders>
          </w:tcPr>
          <w:p w14:paraId="0A99F02A">
            <w:pPr>
              <w:spacing w:line="360" w:lineRule="atLeast"/>
              <w:jc w:val="center"/>
              <w:textAlignment w:val="baseline"/>
              <w:rPr>
                <w:sz w:val="24"/>
              </w:rPr>
            </w:pPr>
          </w:p>
        </w:tc>
        <w:tc>
          <w:tcPr>
            <w:tcW w:w="431" w:type="pct"/>
            <w:tcBorders>
              <w:top w:val="single" w:color="auto" w:sz="4" w:space="0"/>
              <w:left w:val="single" w:color="auto" w:sz="4" w:space="0"/>
              <w:bottom w:val="single" w:color="auto" w:sz="4" w:space="0"/>
              <w:right w:val="single" w:color="auto" w:sz="4" w:space="0"/>
            </w:tcBorders>
            <w:vAlign w:val="center"/>
          </w:tcPr>
          <w:p w14:paraId="4E9F401E">
            <w:pPr>
              <w:spacing w:line="360" w:lineRule="atLeast"/>
              <w:jc w:val="center"/>
              <w:textAlignment w:val="baseline"/>
              <w:rPr>
                <w:sz w:val="24"/>
              </w:rPr>
            </w:pPr>
          </w:p>
        </w:tc>
        <w:tc>
          <w:tcPr>
            <w:tcW w:w="322" w:type="pct"/>
            <w:tcBorders>
              <w:top w:val="single" w:color="auto" w:sz="4" w:space="0"/>
              <w:left w:val="single" w:color="auto" w:sz="4" w:space="0"/>
              <w:bottom w:val="single" w:color="auto" w:sz="4" w:space="0"/>
              <w:right w:val="single" w:color="auto" w:sz="4" w:space="0"/>
            </w:tcBorders>
            <w:vAlign w:val="center"/>
          </w:tcPr>
          <w:p w14:paraId="4E6B95F7">
            <w:pPr>
              <w:snapToGrid w:val="0"/>
              <w:jc w:val="center"/>
              <w:rPr>
                <w:rFonts w:hint="eastAsia" w:ascii="宋体" w:hAnsi="宋体" w:cs="宋体"/>
                <w:bCs/>
                <w:sz w:val="24"/>
              </w:rPr>
            </w:pPr>
          </w:p>
        </w:tc>
        <w:tc>
          <w:tcPr>
            <w:tcW w:w="322" w:type="pct"/>
            <w:tcBorders>
              <w:top w:val="single" w:color="auto" w:sz="4" w:space="0"/>
              <w:left w:val="single" w:color="auto" w:sz="4" w:space="0"/>
              <w:bottom w:val="single" w:color="auto" w:sz="4" w:space="0"/>
              <w:right w:val="single" w:color="auto" w:sz="4" w:space="0"/>
            </w:tcBorders>
            <w:vAlign w:val="center"/>
          </w:tcPr>
          <w:p w14:paraId="1065011F">
            <w:pPr>
              <w:spacing w:line="360" w:lineRule="atLeast"/>
              <w:jc w:val="center"/>
              <w:textAlignment w:val="baseline"/>
              <w:rPr>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0DE8B451">
            <w:pPr>
              <w:spacing w:line="360" w:lineRule="atLeast"/>
              <w:jc w:val="center"/>
              <w:textAlignment w:val="baseline"/>
              <w:rPr>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335A47CA">
            <w:pPr>
              <w:spacing w:line="360" w:lineRule="atLeast"/>
              <w:jc w:val="center"/>
              <w:textAlignment w:val="baseline"/>
              <w:rPr>
                <w:sz w:val="24"/>
              </w:rPr>
            </w:pPr>
          </w:p>
        </w:tc>
        <w:tc>
          <w:tcPr>
            <w:tcW w:w="549" w:type="pct"/>
            <w:tcBorders>
              <w:top w:val="single" w:color="auto" w:sz="4" w:space="0"/>
              <w:left w:val="single" w:color="auto" w:sz="4" w:space="0"/>
              <w:bottom w:val="single" w:color="auto" w:sz="4" w:space="0"/>
              <w:right w:val="single" w:color="auto" w:sz="12" w:space="0"/>
            </w:tcBorders>
            <w:vAlign w:val="center"/>
          </w:tcPr>
          <w:p w14:paraId="2980EB59">
            <w:pPr>
              <w:widowControl/>
              <w:jc w:val="right"/>
              <w:textAlignment w:val="center"/>
              <w:rPr>
                <w:rFonts w:hint="eastAsia" w:ascii="宋体" w:hAnsi="宋体" w:cs="宋体"/>
                <w:bCs/>
                <w:sz w:val="24"/>
                <w:highlight w:val="yellow"/>
              </w:rPr>
            </w:pPr>
          </w:p>
        </w:tc>
        <w:tc>
          <w:tcPr>
            <w:tcW w:w="245" w:type="pct"/>
            <w:tcBorders>
              <w:top w:val="single" w:color="auto" w:sz="4" w:space="0"/>
              <w:left w:val="single" w:color="auto" w:sz="4" w:space="0"/>
              <w:bottom w:val="single" w:color="auto" w:sz="4" w:space="0"/>
              <w:right w:val="single" w:color="auto" w:sz="12" w:space="0"/>
            </w:tcBorders>
            <w:vAlign w:val="center"/>
          </w:tcPr>
          <w:p w14:paraId="51D17C70">
            <w:pPr>
              <w:spacing w:line="360" w:lineRule="atLeast"/>
              <w:jc w:val="center"/>
              <w:textAlignment w:val="baseline"/>
              <w:rPr>
                <w:sz w:val="24"/>
              </w:rPr>
            </w:pPr>
          </w:p>
        </w:tc>
      </w:tr>
      <w:tr w14:paraId="7E889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02" w:type="pct"/>
            <w:tcBorders>
              <w:top w:val="single" w:color="auto" w:sz="4" w:space="0"/>
              <w:left w:val="single" w:color="auto" w:sz="12" w:space="0"/>
              <w:bottom w:val="single" w:color="auto" w:sz="4" w:space="0"/>
              <w:right w:val="single" w:color="auto" w:sz="4" w:space="0"/>
            </w:tcBorders>
            <w:vAlign w:val="center"/>
          </w:tcPr>
          <w:p w14:paraId="472209C1">
            <w:pPr>
              <w:widowControl/>
              <w:snapToGrid w:val="0"/>
              <w:jc w:val="center"/>
              <w:textAlignment w:val="center"/>
              <w:rPr>
                <w:sz w:val="24"/>
              </w:rPr>
            </w:pPr>
          </w:p>
        </w:tc>
        <w:tc>
          <w:tcPr>
            <w:tcW w:w="591" w:type="pct"/>
            <w:tcBorders>
              <w:top w:val="single" w:color="auto" w:sz="4" w:space="0"/>
              <w:left w:val="single" w:color="auto" w:sz="4" w:space="0"/>
              <w:bottom w:val="single" w:color="auto" w:sz="4" w:space="0"/>
              <w:right w:val="single" w:color="auto" w:sz="4" w:space="0"/>
            </w:tcBorders>
            <w:vAlign w:val="center"/>
          </w:tcPr>
          <w:p w14:paraId="7FDD14D7">
            <w:pPr>
              <w:snapToGrid w:val="0"/>
              <w:jc w:val="center"/>
              <w:rPr>
                <w:rFonts w:hint="eastAsia" w:ascii="宋体" w:hAnsi="宋体" w:cs="宋体"/>
                <w:bCs/>
                <w:sz w:val="24"/>
              </w:rPr>
            </w:pPr>
          </w:p>
        </w:tc>
        <w:tc>
          <w:tcPr>
            <w:tcW w:w="269" w:type="pct"/>
            <w:tcBorders>
              <w:top w:val="single" w:color="auto" w:sz="4" w:space="0"/>
              <w:left w:val="single" w:color="auto" w:sz="4" w:space="0"/>
              <w:bottom w:val="single" w:color="auto" w:sz="4" w:space="0"/>
              <w:right w:val="single" w:color="auto" w:sz="4" w:space="0"/>
            </w:tcBorders>
            <w:vAlign w:val="center"/>
          </w:tcPr>
          <w:p w14:paraId="5F75733D">
            <w:pPr>
              <w:spacing w:line="360" w:lineRule="atLeast"/>
              <w:jc w:val="center"/>
              <w:textAlignment w:val="baseline"/>
              <w:rPr>
                <w:sz w:val="24"/>
              </w:rPr>
            </w:pPr>
          </w:p>
        </w:tc>
        <w:tc>
          <w:tcPr>
            <w:tcW w:w="269" w:type="pct"/>
            <w:tcBorders>
              <w:top w:val="single" w:color="auto" w:sz="4" w:space="0"/>
              <w:left w:val="single" w:color="auto" w:sz="4" w:space="0"/>
              <w:bottom w:val="single" w:color="auto" w:sz="4" w:space="0"/>
              <w:right w:val="single" w:color="auto" w:sz="4" w:space="0"/>
            </w:tcBorders>
            <w:vAlign w:val="center"/>
          </w:tcPr>
          <w:p w14:paraId="37D2E42C">
            <w:pPr>
              <w:spacing w:line="360" w:lineRule="atLeast"/>
              <w:jc w:val="center"/>
              <w:textAlignment w:val="baseline"/>
              <w:rPr>
                <w:sz w:val="24"/>
              </w:rPr>
            </w:pPr>
          </w:p>
        </w:tc>
        <w:tc>
          <w:tcPr>
            <w:tcW w:w="270" w:type="pct"/>
            <w:tcBorders>
              <w:top w:val="single" w:color="auto" w:sz="4" w:space="0"/>
              <w:left w:val="single" w:color="auto" w:sz="4" w:space="0"/>
              <w:bottom w:val="single" w:color="auto" w:sz="4" w:space="0"/>
              <w:right w:val="single" w:color="auto" w:sz="4" w:space="0"/>
            </w:tcBorders>
          </w:tcPr>
          <w:p w14:paraId="30882CE0">
            <w:pPr>
              <w:spacing w:line="360" w:lineRule="atLeast"/>
              <w:jc w:val="center"/>
              <w:textAlignment w:val="baseline"/>
              <w:rPr>
                <w:sz w:val="24"/>
              </w:rPr>
            </w:pPr>
          </w:p>
        </w:tc>
        <w:tc>
          <w:tcPr>
            <w:tcW w:w="431" w:type="pct"/>
            <w:tcBorders>
              <w:top w:val="single" w:color="auto" w:sz="4" w:space="0"/>
              <w:left w:val="single" w:color="auto" w:sz="4" w:space="0"/>
              <w:bottom w:val="single" w:color="auto" w:sz="4" w:space="0"/>
              <w:right w:val="single" w:color="auto" w:sz="4" w:space="0"/>
            </w:tcBorders>
          </w:tcPr>
          <w:p w14:paraId="732E4C63">
            <w:pPr>
              <w:spacing w:line="360" w:lineRule="atLeast"/>
              <w:jc w:val="center"/>
              <w:textAlignment w:val="baseline"/>
              <w:rPr>
                <w:sz w:val="24"/>
              </w:rPr>
            </w:pPr>
          </w:p>
        </w:tc>
        <w:tc>
          <w:tcPr>
            <w:tcW w:w="431" w:type="pct"/>
            <w:tcBorders>
              <w:top w:val="single" w:color="auto" w:sz="4" w:space="0"/>
              <w:left w:val="single" w:color="auto" w:sz="4" w:space="0"/>
              <w:bottom w:val="single" w:color="auto" w:sz="4" w:space="0"/>
              <w:right w:val="single" w:color="auto" w:sz="4" w:space="0"/>
            </w:tcBorders>
            <w:vAlign w:val="center"/>
          </w:tcPr>
          <w:p w14:paraId="523568F3">
            <w:pPr>
              <w:spacing w:line="360" w:lineRule="atLeast"/>
              <w:jc w:val="center"/>
              <w:textAlignment w:val="baseline"/>
              <w:rPr>
                <w:sz w:val="24"/>
              </w:rPr>
            </w:pPr>
          </w:p>
        </w:tc>
        <w:tc>
          <w:tcPr>
            <w:tcW w:w="322" w:type="pct"/>
            <w:tcBorders>
              <w:top w:val="single" w:color="auto" w:sz="4" w:space="0"/>
              <w:left w:val="single" w:color="auto" w:sz="4" w:space="0"/>
              <w:bottom w:val="single" w:color="auto" w:sz="4" w:space="0"/>
              <w:right w:val="single" w:color="auto" w:sz="4" w:space="0"/>
            </w:tcBorders>
            <w:vAlign w:val="center"/>
          </w:tcPr>
          <w:p w14:paraId="66081D33">
            <w:pPr>
              <w:snapToGrid w:val="0"/>
              <w:jc w:val="center"/>
              <w:rPr>
                <w:rFonts w:hint="eastAsia" w:ascii="宋体" w:hAnsi="宋体" w:cs="宋体"/>
                <w:bCs/>
                <w:sz w:val="24"/>
              </w:rPr>
            </w:pPr>
          </w:p>
        </w:tc>
        <w:tc>
          <w:tcPr>
            <w:tcW w:w="322" w:type="pct"/>
            <w:tcBorders>
              <w:top w:val="single" w:color="auto" w:sz="4" w:space="0"/>
              <w:left w:val="single" w:color="auto" w:sz="4" w:space="0"/>
              <w:bottom w:val="single" w:color="auto" w:sz="4" w:space="0"/>
              <w:right w:val="single" w:color="auto" w:sz="4" w:space="0"/>
            </w:tcBorders>
            <w:vAlign w:val="center"/>
          </w:tcPr>
          <w:p w14:paraId="60550F15">
            <w:pPr>
              <w:spacing w:line="360" w:lineRule="atLeast"/>
              <w:jc w:val="center"/>
              <w:textAlignment w:val="baseline"/>
              <w:rPr>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3A308580">
            <w:pPr>
              <w:spacing w:line="360" w:lineRule="atLeast"/>
              <w:jc w:val="center"/>
              <w:textAlignment w:val="baseline"/>
              <w:rPr>
                <w:sz w:val="24"/>
              </w:rPr>
            </w:pPr>
          </w:p>
        </w:tc>
        <w:tc>
          <w:tcPr>
            <w:tcW w:w="549" w:type="pct"/>
            <w:tcBorders>
              <w:top w:val="single" w:color="auto" w:sz="4" w:space="0"/>
              <w:left w:val="single" w:color="auto" w:sz="4" w:space="0"/>
              <w:bottom w:val="single" w:color="auto" w:sz="4" w:space="0"/>
              <w:right w:val="single" w:color="auto" w:sz="4" w:space="0"/>
            </w:tcBorders>
            <w:vAlign w:val="center"/>
          </w:tcPr>
          <w:p w14:paraId="727E566A">
            <w:pPr>
              <w:spacing w:line="360" w:lineRule="atLeast"/>
              <w:jc w:val="center"/>
              <w:textAlignment w:val="baseline"/>
              <w:rPr>
                <w:sz w:val="24"/>
              </w:rPr>
            </w:pPr>
          </w:p>
        </w:tc>
        <w:tc>
          <w:tcPr>
            <w:tcW w:w="549" w:type="pct"/>
            <w:tcBorders>
              <w:top w:val="single" w:color="auto" w:sz="4" w:space="0"/>
              <w:left w:val="single" w:color="auto" w:sz="4" w:space="0"/>
              <w:bottom w:val="single" w:color="auto" w:sz="4" w:space="0"/>
              <w:right w:val="single" w:color="auto" w:sz="12" w:space="0"/>
            </w:tcBorders>
            <w:vAlign w:val="center"/>
          </w:tcPr>
          <w:p w14:paraId="73C61551">
            <w:pPr>
              <w:widowControl/>
              <w:jc w:val="right"/>
              <w:textAlignment w:val="center"/>
              <w:rPr>
                <w:rFonts w:hint="eastAsia" w:ascii="宋体" w:hAnsi="宋体" w:cs="宋体"/>
                <w:bCs/>
                <w:sz w:val="24"/>
                <w:highlight w:val="yellow"/>
              </w:rPr>
            </w:pPr>
          </w:p>
        </w:tc>
        <w:tc>
          <w:tcPr>
            <w:tcW w:w="245" w:type="pct"/>
            <w:tcBorders>
              <w:top w:val="single" w:color="auto" w:sz="4" w:space="0"/>
              <w:left w:val="single" w:color="auto" w:sz="4" w:space="0"/>
              <w:bottom w:val="single" w:color="auto" w:sz="4" w:space="0"/>
              <w:right w:val="single" w:color="auto" w:sz="12" w:space="0"/>
            </w:tcBorders>
            <w:vAlign w:val="center"/>
          </w:tcPr>
          <w:p w14:paraId="112CCB86">
            <w:pPr>
              <w:spacing w:line="360" w:lineRule="atLeast"/>
              <w:jc w:val="center"/>
              <w:textAlignment w:val="baseline"/>
              <w:rPr>
                <w:sz w:val="24"/>
              </w:rPr>
            </w:pPr>
          </w:p>
        </w:tc>
      </w:tr>
      <w:tr w14:paraId="128FF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94" w:type="pct"/>
            <w:gridSpan w:val="2"/>
            <w:tcBorders>
              <w:top w:val="single" w:color="auto" w:sz="4" w:space="0"/>
              <w:left w:val="single" w:color="auto" w:sz="12" w:space="0"/>
              <w:bottom w:val="single" w:color="auto" w:sz="12" w:space="0"/>
              <w:right w:val="single" w:color="auto" w:sz="4" w:space="0"/>
            </w:tcBorders>
            <w:vAlign w:val="center"/>
          </w:tcPr>
          <w:p w14:paraId="5995BA18">
            <w:pPr>
              <w:snapToGrid w:val="0"/>
              <w:spacing w:line="360" w:lineRule="atLeast"/>
              <w:jc w:val="center"/>
              <w:textAlignment w:val="baseline"/>
              <w:rPr>
                <w:rFonts w:ascii="宋体"/>
                <w:b/>
                <w:bCs/>
                <w:sz w:val="24"/>
              </w:rPr>
            </w:pPr>
            <w:r>
              <w:rPr>
                <w:rFonts w:hint="eastAsia" w:ascii="宋体" w:hAnsi="宋体"/>
                <w:b/>
                <w:sz w:val="24"/>
              </w:rPr>
              <w:t>总计</w:t>
            </w:r>
            <w:r>
              <w:rPr>
                <w:rFonts w:hint="eastAsia" w:ascii="宋体" w:hAnsi="宋体" w:cs="宋体"/>
                <w:b/>
                <w:bCs/>
                <w:sz w:val="24"/>
              </w:rPr>
              <w:t>（人民币 元）</w:t>
            </w:r>
          </w:p>
        </w:tc>
        <w:tc>
          <w:tcPr>
            <w:tcW w:w="4206" w:type="pct"/>
            <w:gridSpan w:val="11"/>
            <w:tcBorders>
              <w:top w:val="single" w:color="auto" w:sz="4" w:space="0"/>
              <w:left w:val="single" w:color="auto" w:sz="4" w:space="0"/>
              <w:bottom w:val="single" w:color="auto" w:sz="12" w:space="0"/>
              <w:right w:val="single" w:color="auto" w:sz="12" w:space="0"/>
            </w:tcBorders>
          </w:tcPr>
          <w:p w14:paraId="60111770">
            <w:pPr>
              <w:snapToGrid w:val="0"/>
              <w:spacing w:line="360" w:lineRule="atLeast"/>
              <w:textAlignment w:val="baseline"/>
              <w:rPr>
                <w:rFonts w:ascii="宋体"/>
                <w:bCs/>
                <w:sz w:val="24"/>
                <w:u w:val="single"/>
              </w:rPr>
            </w:pPr>
            <w:r>
              <w:rPr>
                <w:rFonts w:hint="eastAsia" w:ascii="宋体" w:hAnsi="宋体"/>
                <w:bCs/>
                <w:sz w:val="24"/>
              </w:rPr>
              <w:t>小写：RMB</w:t>
            </w:r>
          </w:p>
          <w:p w14:paraId="0ABD1309">
            <w:pPr>
              <w:spacing w:line="360" w:lineRule="atLeast"/>
              <w:textAlignment w:val="baseline"/>
              <w:rPr>
                <w:rFonts w:hint="eastAsia" w:ascii="宋体" w:hAnsi="宋体"/>
                <w:bCs/>
                <w:sz w:val="24"/>
              </w:rPr>
            </w:pPr>
            <w:r>
              <w:rPr>
                <w:rFonts w:hint="eastAsia" w:ascii="宋体" w:hAnsi="宋体"/>
                <w:bCs/>
                <w:sz w:val="24"/>
              </w:rPr>
              <w:t>大写：</w:t>
            </w:r>
          </w:p>
        </w:tc>
      </w:tr>
    </w:tbl>
    <w:p w14:paraId="370DFD7E">
      <w:pPr>
        <w:pStyle w:val="13"/>
        <w:jc w:val="both"/>
      </w:pPr>
    </w:p>
    <w:p w14:paraId="2EC2916F">
      <w:pPr>
        <w:adjustRightInd w:val="0"/>
        <w:snapToGrid w:val="0"/>
        <w:spacing w:line="560" w:lineRule="exact"/>
        <w:ind w:left="2674" w:leftChars="1400" w:firstLine="774" w:firstLineChars="350"/>
        <w:rPr>
          <w:rFonts w:ascii="仿宋_GB2312" w:hAnsi="仿宋_GB2312" w:eastAsia="仿宋_GB2312" w:cs="仿宋_GB2312"/>
          <w:sz w:val="24"/>
        </w:rPr>
      </w:pPr>
      <w:r>
        <w:rPr>
          <w:rFonts w:hint="eastAsia" w:ascii="仿宋_GB2312" w:hAnsi="仿宋_GB2312" w:eastAsia="仿宋_GB2312" w:cs="仿宋_GB2312"/>
          <w:sz w:val="24"/>
        </w:rPr>
        <w:t>供应商法定代表人</w:t>
      </w:r>
      <w:r>
        <w:rPr>
          <w:rFonts w:hint="eastAsia" w:ascii="仿宋_GB2312" w:hAnsi="仿宋_GB2312" w:eastAsia="仿宋_GB2312" w:cs="仿宋_GB2312"/>
          <w:sz w:val="24"/>
          <w:szCs w:val="21"/>
        </w:rPr>
        <w:t>（或授权代表）</w:t>
      </w:r>
      <w:r>
        <w:rPr>
          <w:rFonts w:hint="eastAsia" w:ascii="仿宋_GB2312" w:hAnsi="仿宋_GB2312" w:eastAsia="仿宋_GB2312" w:cs="仿宋_GB2312"/>
          <w:sz w:val="24"/>
        </w:rPr>
        <w:t>签字：</w:t>
      </w:r>
      <w:r>
        <w:rPr>
          <w:rFonts w:hint="eastAsia" w:ascii="仿宋_GB2312" w:hAnsi="仿宋_GB2312" w:eastAsia="仿宋_GB2312" w:cs="仿宋_GB2312"/>
          <w:sz w:val="24"/>
          <w:u w:val="single"/>
        </w:rPr>
        <w:t xml:space="preserve">       </w:t>
      </w:r>
    </w:p>
    <w:p w14:paraId="79520DD0">
      <w:pPr>
        <w:adjustRightInd w:val="0"/>
        <w:snapToGrid w:val="0"/>
        <w:spacing w:line="560" w:lineRule="exact"/>
        <w:ind w:left="2674" w:leftChars="1400" w:firstLine="774" w:firstLineChars="350"/>
        <w:rPr>
          <w:rFonts w:ascii="仿宋_GB2312" w:hAnsi="仿宋_GB2312" w:eastAsia="仿宋_GB2312" w:cs="仿宋_GB2312"/>
          <w:sz w:val="24"/>
          <w:u w:val="single"/>
        </w:rPr>
      </w:pPr>
      <w:r>
        <w:rPr>
          <w:rFonts w:hint="eastAsia" w:ascii="仿宋_GB2312" w:hAnsi="仿宋_GB2312" w:eastAsia="仿宋_GB2312" w:cs="仿宋_GB2312"/>
          <w:sz w:val="24"/>
        </w:rPr>
        <w:t>供应商名称</w:t>
      </w:r>
      <w:r>
        <w:rPr>
          <w:rFonts w:hint="eastAsia" w:ascii="仿宋_GB2312" w:hAnsi="仿宋_GB2312" w:eastAsia="仿宋_GB2312" w:cs="仿宋_GB2312"/>
          <w:sz w:val="24"/>
          <w:szCs w:val="21"/>
        </w:rPr>
        <w:t>（签章）</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p>
    <w:p w14:paraId="5BE8D122">
      <w:pPr>
        <w:pStyle w:val="13"/>
        <w:spacing w:line="560" w:lineRule="exact"/>
        <w:ind w:left="218" w:firstLine="3222" w:firstLineChars="1458"/>
        <w:jc w:val="left"/>
        <w:rPr>
          <w:rFonts w:hAnsi="仿宋_GB2312" w:cs="仿宋_GB2312"/>
        </w:rPr>
      </w:pPr>
      <w:r>
        <w:rPr>
          <w:rFonts w:hint="eastAsia" w:hAnsi="仿宋_GB2312" w:cs="仿宋_GB2312"/>
        </w:rPr>
        <w:t>日   期：</w:t>
      </w:r>
      <w:r>
        <w:rPr>
          <w:rFonts w:hint="eastAsia" w:hAnsi="仿宋_GB2312" w:cs="仿宋_GB2312"/>
          <w:u w:val="single"/>
        </w:rPr>
        <w:t xml:space="preserve">          </w:t>
      </w:r>
      <w:r>
        <w:rPr>
          <w:rFonts w:hint="eastAsia" w:hAnsi="仿宋_GB2312" w:cs="仿宋_GB2312"/>
        </w:rPr>
        <w:t>年</w:t>
      </w:r>
      <w:r>
        <w:rPr>
          <w:rFonts w:hint="eastAsia" w:hAnsi="仿宋_GB2312" w:cs="仿宋_GB2312"/>
          <w:u w:val="single"/>
        </w:rPr>
        <w:t xml:space="preserve">        </w:t>
      </w:r>
      <w:r>
        <w:rPr>
          <w:rFonts w:hint="eastAsia" w:hAnsi="仿宋_GB2312" w:cs="仿宋_GB2312"/>
        </w:rPr>
        <w:t>月</w:t>
      </w:r>
      <w:r>
        <w:rPr>
          <w:rFonts w:hint="eastAsia" w:hAnsi="仿宋_GB2312" w:cs="仿宋_GB2312"/>
          <w:u w:val="single"/>
        </w:rPr>
        <w:t xml:space="preserve">      </w:t>
      </w:r>
      <w:r>
        <w:rPr>
          <w:rFonts w:hint="eastAsia" w:hAnsi="仿宋_GB2312" w:cs="仿宋_GB2312"/>
        </w:rPr>
        <w:t xml:space="preserve">日 </w:t>
      </w:r>
    </w:p>
    <w:p w14:paraId="0DABE6D6">
      <w:pPr>
        <w:pStyle w:val="14"/>
        <w:adjustRightInd w:val="0"/>
        <w:snapToGrid w:val="0"/>
        <w:spacing w:line="560" w:lineRule="exact"/>
        <w:ind w:firstLine="0" w:firstLineChars="0"/>
        <w:outlineLvl w:val="9"/>
        <w:rPr>
          <w:rFonts w:ascii="Arial Unicode MS" w:hAnsi="Arial Unicode MS" w:eastAsia="宋体" w:cs="宋体"/>
          <w:sz w:val="24"/>
        </w:rPr>
      </w:pPr>
    </w:p>
    <w:p w14:paraId="16C35F49">
      <w:pPr>
        <w:spacing w:before="480" w:after="480" w:line="288" w:lineRule="auto"/>
        <w:jc w:val="center"/>
      </w:pPr>
      <w:r>
        <w:rPr>
          <w:rFonts w:hint="eastAsia" w:ascii="Arial" w:hAnsi="Arial" w:eastAsia="等线" w:cs="Arial"/>
          <w:b/>
          <w:sz w:val="52"/>
        </w:rPr>
        <w:br w:type="page"/>
      </w:r>
      <w:r>
        <w:rPr>
          <w:rFonts w:hint="eastAsia" w:ascii="Arial" w:hAnsi="Arial" w:eastAsia="等线" w:cs="Arial"/>
          <w:b/>
          <w:sz w:val="52"/>
        </w:rPr>
        <w:t>供应商资质响应</w:t>
      </w:r>
      <w:r>
        <w:rPr>
          <w:rFonts w:ascii="Arial" w:hAnsi="Arial" w:eastAsia="等线" w:cs="Arial"/>
          <w:b/>
          <w:sz w:val="52"/>
        </w:rPr>
        <w:t>承诺函</w:t>
      </w:r>
    </w:p>
    <w:p w14:paraId="602B2831">
      <w:pPr>
        <w:spacing w:before="120" w:after="120" w:line="288" w:lineRule="auto"/>
        <w:jc w:val="left"/>
      </w:pPr>
      <w:r>
        <w:rPr>
          <w:rFonts w:ascii="Arial" w:hAnsi="Arial" w:eastAsia="等线" w:cs="Arial"/>
          <w:sz w:val="22"/>
        </w:rPr>
        <w:t>致：__________（采购单位）</w:t>
      </w:r>
    </w:p>
    <w:p w14:paraId="72B1D43D">
      <w:pPr>
        <w:spacing w:before="120" w:after="120" w:line="288" w:lineRule="auto"/>
        <w:ind w:firstLine="500"/>
        <w:jc w:val="left"/>
      </w:pPr>
      <w:r>
        <w:rPr>
          <w:rFonts w:ascii="Arial" w:hAnsi="Arial" w:eastAsia="等线" w:cs="Arial"/>
          <w:sz w:val="22"/>
        </w:rPr>
        <w:t>本单位参与本次采购项目（项目名称：__________，项目编号：__________），现就医疗器械生产</w:t>
      </w:r>
      <w:r>
        <w:rPr>
          <w:rFonts w:hint="eastAsia" w:ascii="Arial" w:hAnsi="Arial" w:eastAsia="等线" w:cs="Arial"/>
          <w:sz w:val="22"/>
        </w:rPr>
        <w:t>/经营</w:t>
      </w:r>
      <w:r>
        <w:rPr>
          <w:rFonts w:ascii="Arial" w:hAnsi="Arial" w:eastAsia="等线" w:cs="Arial"/>
          <w:sz w:val="22"/>
        </w:rPr>
        <w:t>备案资料事宜郑重承诺如下：</w:t>
      </w:r>
    </w:p>
    <w:p w14:paraId="2B280C57">
      <w:pPr>
        <w:spacing w:before="120" w:after="120" w:line="288" w:lineRule="auto"/>
        <w:ind w:firstLine="500"/>
        <w:jc w:val="left"/>
      </w:pPr>
      <w:r>
        <w:rPr>
          <w:rFonts w:ascii="Arial" w:hAnsi="Arial" w:eastAsia="等线" w:cs="Arial"/>
          <w:sz w:val="22"/>
        </w:rPr>
        <w:t>我方承诺，若本单位顺利成交，将在签订合同前，按时、完整提供本次投标产品对应的</w:t>
      </w:r>
      <w:r>
        <w:rPr>
          <w:rFonts w:ascii="Arial" w:hAnsi="Arial" w:eastAsia="等线" w:cs="Arial"/>
          <w:b/>
          <w:sz w:val="22"/>
        </w:rPr>
        <w:t>医疗器械生产</w:t>
      </w:r>
      <w:r>
        <w:rPr>
          <w:rFonts w:hint="eastAsia" w:ascii="Arial" w:hAnsi="Arial" w:eastAsia="等线" w:cs="Arial"/>
          <w:b/>
          <w:sz w:val="22"/>
        </w:rPr>
        <w:t>/经营</w:t>
      </w:r>
      <w:r>
        <w:rPr>
          <w:rFonts w:ascii="Arial" w:hAnsi="Arial" w:eastAsia="等线" w:cs="Arial"/>
          <w:b/>
          <w:sz w:val="22"/>
        </w:rPr>
        <w:t>备案凭证</w:t>
      </w:r>
      <w:r>
        <w:rPr>
          <w:rFonts w:ascii="Arial" w:hAnsi="Arial" w:eastAsia="等线" w:cs="Arial"/>
          <w:sz w:val="22"/>
        </w:rPr>
        <w:t>。所提供资料真实、有效、在有效期内。</w:t>
      </w:r>
    </w:p>
    <w:p w14:paraId="3A6E39E7">
      <w:pPr>
        <w:spacing w:before="120" w:after="120" w:line="288" w:lineRule="auto"/>
        <w:ind w:firstLine="500"/>
        <w:jc w:val="left"/>
      </w:pPr>
      <w:r>
        <w:rPr>
          <w:rFonts w:ascii="Arial" w:hAnsi="Arial" w:eastAsia="等线" w:cs="Arial"/>
          <w:sz w:val="22"/>
        </w:rPr>
        <w:t>如我方逾期未提供或提供资料虚假、无效、不符要求，贵单位有权取消我方成交资格、终止合同、不予履约，并追究我方相应违约责任，由此产生一切损失由我方自行承担。</w:t>
      </w:r>
    </w:p>
    <w:p w14:paraId="31B013A8">
      <w:pPr>
        <w:spacing w:before="120" w:after="120" w:line="288" w:lineRule="auto"/>
        <w:ind w:firstLine="500"/>
        <w:jc w:val="left"/>
      </w:pPr>
      <w:r>
        <w:rPr>
          <w:rFonts w:ascii="Arial" w:hAnsi="Arial" w:eastAsia="等线" w:cs="Arial"/>
          <w:sz w:val="22"/>
        </w:rPr>
        <w:t>本承诺真实有效，具有法律效力。</w:t>
      </w:r>
    </w:p>
    <w:p w14:paraId="4AEEEB79">
      <w:pPr>
        <w:spacing w:before="120" w:after="120" w:line="288" w:lineRule="auto"/>
        <w:ind w:firstLine="500"/>
        <w:jc w:val="left"/>
      </w:pPr>
      <w:r>
        <w:rPr>
          <w:rFonts w:ascii="Arial" w:hAnsi="Arial" w:eastAsia="等线" w:cs="Arial"/>
          <w:sz w:val="22"/>
        </w:rPr>
        <w:t>特此承诺！</w:t>
      </w:r>
    </w:p>
    <w:p w14:paraId="4ACC59D2">
      <w:pPr>
        <w:spacing w:before="120" w:after="120" w:line="288" w:lineRule="auto"/>
        <w:ind w:firstLine="4020" w:firstLineChars="2000"/>
        <w:jc w:val="left"/>
      </w:pPr>
      <w:r>
        <w:rPr>
          <w:rFonts w:ascii="Arial" w:hAnsi="Arial" w:eastAsia="等线" w:cs="Arial"/>
          <w:sz w:val="22"/>
        </w:rPr>
        <w:t>承诺单位（盖章）：__________</w:t>
      </w:r>
    </w:p>
    <w:p w14:paraId="1C9EB777">
      <w:pPr>
        <w:spacing w:before="120" w:after="120" w:line="288" w:lineRule="auto"/>
        <w:ind w:firstLine="4020" w:firstLineChars="2000"/>
        <w:jc w:val="left"/>
      </w:pPr>
      <w:r>
        <w:rPr>
          <w:rFonts w:ascii="Arial" w:hAnsi="Arial" w:eastAsia="等线" w:cs="Arial"/>
          <w:sz w:val="22"/>
        </w:rPr>
        <w:t>法定代表人/授权代表：__________</w:t>
      </w:r>
    </w:p>
    <w:p w14:paraId="0FF11278">
      <w:pPr>
        <w:spacing w:before="120" w:after="120" w:line="288" w:lineRule="auto"/>
        <w:ind w:firstLine="4020" w:firstLineChars="2000"/>
        <w:jc w:val="left"/>
      </w:pPr>
      <w:r>
        <w:rPr>
          <w:rFonts w:ascii="Arial" w:hAnsi="Arial" w:eastAsia="等线" w:cs="Arial"/>
          <w:sz w:val="22"/>
        </w:rPr>
        <w:t>联系电话：__________</w:t>
      </w:r>
    </w:p>
    <w:p w14:paraId="2E5E4EF3">
      <w:pPr>
        <w:spacing w:before="120" w:after="120" w:line="288" w:lineRule="auto"/>
        <w:ind w:firstLine="4020" w:firstLineChars="2000"/>
        <w:jc w:val="left"/>
      </w:pPr>
      <w:r>
        <w:rPr>
          <w:rFonts w:ascii="Arial" w:hAnsi="Arial" w:eastAsia="等线" w:cs="Arial"/>
          <w:sz w:val="22"/>
        </w:rPr>
        <w:t>日期：______年____月____日</w:t>
      </w:r>
    </w:p>
    <w:p w14:paraId="73079372">
      <w:r>
        <w:br w:type="page"/>
      </w:r>
    </w:p>
    <w:p w14:paraId="7E82C7CC">
      <w:pPr>
        <w:spacing w:before="0" w:after="200" w:line="240" w:lineRule="auto"/>
        <w:jc w:val="center"/>
        <w:rPr>
          <w:rFonts w:ascii="Arial" w:hAnsi="Arial" w:eastAsia="等线" w:cs="Arial"/>
          <w:b/>
          <w:sz w:val="52"/>
        </w:rPr>
      </w:pPr>
      <w:r>
        <w:rPr>
          <w:rFonts w:hint="eastAsia" w:ascii="Arial" w:hAnsi="Arial" w:eastAsia="等线" w:cs="Arial"/>
          <w:b/>
          <w:sz w:val="52"/>
        </w:rPr>
        <w:t>供应商合同设备响应</w:t>
      </w:r>
      <w:r>
        <w:rPr>
          <w:rFonts w:ascii="Arial" w:hAnsi="Arial" w:eastAsia="等线" w:cs="Arial"/>
          <w:b/>
          <w:sz w:val="52"/>
        </w:rPr>
        <w:t>承诺函</w:t>
      </w:r>
    </w:p>
    <w:p w14:paraId="3B00E29D">
      <w:pPr>
        <w:spacing w:before="120" w:after="120" w:line="288" w:lineRule="auto"/>
        <w:ind w:firstLine="500"/>
        <w:jc w:val="center"/>
        <w:rPr>
          <w:rFonts w:hint="default" w:ascii="Arial" w:hAnsi="Arial" w:eastAsia="等线" w:cs="Arial"/>
          <w:b w:val="0"/>
          <w:sz w:val="22"/>
          <w:lang w:val="en-US" w:eastAsia="zh-CN"/>
        </w:rPr>
      </w:pPr>
      <w:r>
        <w:rPr>
          <w:rFonts w:hint="default" w:ascii="Arial" w:hAnsi="Arial" w:eastAsia="等线" w:cs="Arial"/>
          <w:b w:val="0"/>
          <w:sz w:val="22"/>
          <w:lang w:eastAsia="zh-CN"/>
        </w:rPr>
        <w:t>（</w:t>
      </w:r>
      <w:r>
        <w:rPr>
          <w:rFonts w:hint="default" w:ascii="Arial" w:hAnsi="Arial" w:eastAsia="等线" w:cs="Arial"/>
          <w:b w:val="0"/>
          <w:sz w:val="22"/>
          <w:lang w:val="en-US" w:eastAsia="zh-CN"/>
        </w:rPr>
        <w:t>仅供参考）</w:t>
      </w:r>
    </w:p>
    <w:p w14:paraId="0D664B2F">
      <w:pPr>
        <w:spacing w:before="120" w:after="120" w:line="288" w:lineRule="auto"/>
        <w:ind w:firstLine="500"/>
        <w:jc w:val="left"/>
        <w:rPr>
          <w:rFonts w:ascii="Arial" w:hAnsi="Arial" w:eastAsia="等线" w:cs="Arial"/>
          <w:sz w:val="22"/>
        </w:rPr>
      </w:pPr>
      <w:r>
        <w:rPr>
          <w:rFonts w:ascii="Arial" w:hAnsi="Arial" w:eastAsia="等线" w:cs="Arial"/>
          <w:sz w:val="22"/>
        </w:rPr>
        <w:t>致：__________（采购单位）</w:t>
      </w:r>
    </w:p>
    <w:p w14:paraId="5A66CC74">
      <w:pPr>
        <w:spacing w:before="120" w:after="120" w:line="288" w:lineRule="auto"/>
        <w:ind w:firstLine="500"/>
        <w:jc w:val="left"/>
        <w:rPr>
          <w:rFonts w:ascii="Arial" w:hAnsi="Arial" w:eastAsia="等线" w:cs="Arial"/>
          <w:sz w:val="22"/>
        </w:rPr>
      </w:pPr>
      <w:r>
        <w:rPr>
          <w:rFonts w:ascii="Arial" w:hAnsi="Arial" w:eastAsia="等线" w:cs="Arial"/>
          <w:sz w:val="22"/>
        </w:rPr>
        <w:t>本单位参与本次采购项目（项目名称：__________，项目编号：__________），现就</w:t>
      </w:r>
      <w:r>
        <w:rPr>
          <w:rFonts w:hint="eastAsia" w:ascii="Arial" w:hAnsi="Arial" w:eastAsia="等线" w:cs="Arial"/>
          <w:sz w:val="22"/>
        </w:rPr>
        <w:t>设备配置清单</w:t>
      </w:r>
      <w:r>
        <w:rPr>
          <w:rFonts w:ascii="Arial" w:hAnsi="Arial" w:eastAsia="等线" w:cs="Arial"/>
          <w:sz w:val="22"/>
        </w:rPr>
        <w:t>事宜郑重承诺如下：</w:t>
      </w:r>
    </w:p>
    <w:tbl>
      <w:tblPr>
        <w:tblStyle w:val="3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3554"/>
        <w:gridCol w:w="1359"/>
        <w:gridCol w:w="2102"/>
      </w:tblGrid>
      <w:tr w14:paraId="000F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95" w:type="pct"/>
            <w:vMerge w:val="restart"/>
            <w:noWrap/>
            <w:vAlign w:val="center"/>
          </w:tcPr>
          <w:p w14:paraId="353BE228">
            <w:pPr>
              <w:spacing w:line="240" w:lineRule="auto"/>
              <w:ind w:firstLine="0" w:firstLineChars="0"/>
              <w:jc w:val="center"/>
              <w:rPr>
                <w:b/>
                <w:bCs/>
                <w:kern w:val="0"/>
              </w:rPr>
            </w:pPr>
            <w:r>
              <w:rPr>
                <w:rFonts w:hint="eastAsia" w:ascii="宋体" w:hAnsi="宋体" w:cs="宋体"/>
                <w:b/>
                <w:szCs w:val="21"/>
              </w:rPr>
              <w:t>★配置清单（单台配置）</w:t>
            </w:r>
          </w:p>
        </w:tc>
        <w:tc>
          <w:tcPr>
            <w:tcW w:w="2085" w:type="pct"/>
          </w:tcPr>
          <w:p w14:paraId="3FBD329B">
            <w:pPr>
              <w:spacing w:line="240" w:lineRule="auto"/>
              <w:ind w:firstLine="0" w:firstLineChars="0"/>
              <w:jc w:val="center"/>
              <w:rPr>
                <w:kern w:val="0"/>
              </w:rPr>
            </w:pPr>
            <w:r>
              <w:rPr>
                <w:rFonts w:hint="eastAsia"/>
                <w:kern w:val="0"/>
              </w:rPr>
              <w:t>名称</w:t>
            </w:r>
          </w:p>
        </w:tc>
        <w:tc>
          <w:tcPr>
            <w:tcW w:w="910" w:type="pct"/>
            <w:vAlign w:val="center"/>
          </w:tcPr>
          <w:p w14:paraId="4B814990">
            <w:pPr>
              <w:spacing w:line="240" w:lineRule="auto"/>
              <w:ind w:firstLine="0" w:firstLineChars="0"/>
              <w:jc w:val="center"/>
              <w:rPr>
                <w:kern w:val="0"/>
              </w:rPr>
            </w:pPr>
            <w:r>
              <w:rPr>
                <w:rFonts w:hint="eastAsia"/>
                <w:kern w:val="0"/>
              </w:rPr>
              <w:t>数量</w:t>
            </w:r>
          </w:p>
        </w:tc>
        <w:tc>
          <w:tcPr>
            <w:tcW w:w="1308" w:type="pct"/>
            <w:vAlign w:val="center"/>
          </w:tcPr>
          <w:p w14:paraId="5A0DD2D3">
            <w:pPr>
              <w:spacing w:line="240" w:lineRule="auto"/>
              <w:ind w:firstLine="0" w:firstLineChars="0"/>
              <w:jc w:val="center"/>
              <w:rPr>
                <w:kern w:val="0"/>
              </w:rPr>
            </w:pPr>
            <w:r>
              <w:rPr>
                <w:rFonts w:hint="eastAsia"/>
                <w:kern w:val="0"/>
              </w:rPr>
              <w:t>单位</w:t>
            </w:r>
          </w:p>
        </w:tc>
      </w:tr>
      <w:tr w14:paraId="4255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5" w:type="pct"/>
            <w:vMerge w:val="continue"/>
          </w:tcPr>
          <w:p w14:paraId="492BA4C7">
            <w:pPr>
              <w:spacing w:line="240" w:lineRule="auto"/>
              <w:ind w:firstLine="0" w:firstLineChars="0"/>
              <w:jc w:val="center"/>
              <w:rPr>
                <w:b/>
                <w:bCs/>
                <w:kern w:val="0"/>
              </w:rPr>
            </w:pPr>
          </w:p>
        </w:tc>
        <w:tc>
          <w:tcPr>
            <w:tcW w:w="2085" w:type="pct"/>
          </w:tcPr>
          <w:p w14:paraId="443BF975">
            <w:pPr>
              <w:spacing w:line="240" w:lineRule="auto"/>
              <w:ind w:firstLine="0" w:firstLineChars="0"/>
              <w:jc w:val="center"/>
              <w:rPr>
                <w:kern w:val="0"/>
              </w:rPr>
            </w:pPr>
            <w:r>
              <w:rPr>
                <w:rFonts w:hint="eastAsia"/>
                <w:kern w:val="0"/>
              </w:rPr>
              <w:t>主机</w:t>
            </w:r>
          </w:p>
        </w:tc>
        <w:tc>
          <w:tcPr>
            <w:tcW w:w="910" w:type="pct"/>
          </w:tcPr>
          <w:p w14:paraId="026269E1">
            <w:pPr>
              <w:spacing w:line="240" w:lineRule="auto"/>
              <w:ind w:firstLine="0" w:firstLineChars="0"/>
              <w:jc w:val="center"/>
              <w:rPr>
                <w:kern w:val="0"/>
              </w:rPr>
            </w:pPr>
            <w:r>
              <w:rPr>
                <w:kern w:val="0"/>
              </w:rPr>
              <w:t>1</w:t>
            </w:r>
          </w:p>
        </w:tc>
        <w:tc>
          <w:tcPr>
            <w:tcW w:w="1308" w:type="pct"/>
          </w:tcPr>
          <w:p w14:paraId="373DB25B">
            <w:pPr>
              <w:spacing w:line="240" w:lineRule="auto"/>
              <w:ind w:firstLine="0" w:firstLineChars="0"/>
              <w:jc w:val="center"/>
              <w:rPr>
                <w:kern w:val="0"/>
              </w:rPr>
            </w:pPr>
            <w:r>
              <w:rPr>
                <w:rFonts w:hint="eastAsia"/>
                <w:kern w:val="0"/>
              </w:rPr>
              <w:t>台</w:t>
            </w:r>
          </w:p>
        </w:tc>
      </w:tr>
      <w:tr w14:paraId="08FC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695" w:type="pct"/>
            <w:vMerge w:val="continue"/>
          </w:tcPr>
          <w:p w14:paraId="47F0C5D1">
            <w:pPr>
              <w:spacing w:line="240" w:lineRule="auto"/>
              <w:ind w:firstLine="0" w:firstLineChars="0"/>
              <w:jc w:val="center"/>
              <w:rPr>
                <w:b/>
                <w:bCs/>
                <w:kern w:val="0"/>
              </w:rPr>
            </w:pPr>
          </w:p>
        </w:tc>
        <w:tc>
          <w:tcPr>
            <w:tcW w:w="2085" w:type="pct"/>
            <w:vAlign w:val="center"/>
          </w:tcPr>
          <w:p w14:paraId="5231A67F">
            <w:pPr>
              <w:spacing w:line="240" w:lineRule="auto"/>
              <w:ind w:firstLine="0" w:firstLineChars="0"/>
              <w:jc w:val="center"/>
              <w:rPr>
                <w:kern w:val="0"/>
              </w:rPr>
            </w:pPr>
            <w:r>
              <w:rPr>
                <w:rFonts w:hint="eastAsia"/>
                <w:kern w:val="0"/>
              </w:rPr>
              <w:t>护目镜</w:t>
            </w:r>
          </w:p>
        </w:tc>
        <w:tc>
          <w:tcPr>
            <w:tcW w:w="910" w:type="pct"/>
          </w:tcPr>
          <w:p w14:paraId="7F34CA7C">
            <w:pPr>
              <w:spacing w:line="240" w:lineRule="auto"/>
              <w:ind w:firstLine="0" w:firstLineChars="0"/>
              <w:jc w:val="center"/>
              <w:rPr>
                <w:kern w:val="0"/>
              </w:rPr>
            </w:pPr>
            <w:r>
              <w:rPr>
                <w:rFonts w:hint="eastAsia"/>
                <w:kern w:val="0"/>
              </w:rPr>
              <w:t>2</w:t>
            </w:r>
          </w:p>
        </w:tc>
        <w:tc>
          <w:tcPr>
            <w:tcW w:w="1308" w:type="pct"/>
          </w:tcPr>
          <w:p w14:paraId="0CB6E093">
            <w:pPr>
              <w:spacing w:line="240" w:lineRule="auto"/>
              <w:ind w:firstLine="0" w:firstLineChars="0"/>
              <w:jc w:val="center"/>
              <w:rPr>
                <w:kern w:val="0"/>
              </w:rPr>
            </w:pPr>
            <w:r>
              <w:rPr>
                <w:rFonts w:hint="eastAsia"/>
                <w:kern w:val="0"/>
              </w:rPr>
              <w:t>副</w:t>
            </w:r>
          </w:p>
        </w:tc>
      </w:tr>
      <w:tr w14:paraId="0ED2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5" w:type="pct"/>
            <w:vMerge w:val="continue"/>
          </w:tcPr>
          <w:p w14:paraId="07B80154">
            <w:pPr>
              <w:spacing w:line="240" w:lineRule="auto"/>
              <w:ind w:firstLine="0" w:firstLineChars="0"/>
              <w:jc w:val="center"/>
              <w:rPr>
                <w:b/>
                <w:bCs/>
                <w:kern w:val="0"/>
              </w:rPr>
            </w:pPr>
          </w:p>
        </w:tc>
        <w:tc>
          <w:tcPr>
            <w:tcW w:w="2085" w:type="pct"/>
            <w:vAlign w:val="center"/>
          </w:tcPr>
          <w:p w14:paraId="46EB5673">
            <w:pPr>
              <w:spacing w:line="240" w:lineRule="auto"/>
              <w:ind w:firstLine="0" w:firstLineChars="0"/>
              <w:jc w:val="center"/>
              <w:rPr>
                <w:kern w:val="0"/>
              </w:rPr>
            </w:pPr>
            <w:r>
              <w:rPr>
                <w:rFonts w:hint="eastAsia"/>
                <w:kern w:val="0"/>
              </w:rPr>
              <w:t>护肤硅胶片</w:t>
            </w:r>
          </w:p>
        </w:tc>
        <w:tc>
          <w:tcPr>
            <w:tcW w:w="910" w:type="pct"/>
          </w:tcPr>
          <w:p w14:paraId="67096044">
            <w:pPr>
              <w:spacing w:line="240" w:lineRule="auto"/>
              <w:ind w:firstLine="0" w:firstLineChars="0"/>
              <w:jc w:val="center"/>
              <w:rPr>
                <w:kern w:val="0"/>
              </w:rPr>
            </w:pPr>
            <w:r>
              <w:rPr>
                <w:rFonts w:hint="eastAsia"/>
                <w:kern w:val="0"/>
              </w:rPr>
              <w:t>4</w:t>
            </w:r>
          </w:p>
        </w:tc>
        <w:tc>
          <w:tcPr>
            <w:tcW w:w="1308" w:type="pct"/>
          </w:tcPr>
          <w:p w14:paraId="002B365E">
            <w:pPr>
              <w:spacing w:line="240" w:lineRule="auto"/>
              <w:ind w:firstLine="0" w:firstLineChars="0"/>
              <w:jc w:val="center"/>
              <w:rPr>
                <w:kern w:val="0"/>
              </w:rPr>
            </w:pPr>
            <w:r>
              <w:rPr>
                <w:rFonts w:hint="eastAsia"/>
                <w:kern w:val="0"/>
              </w:rPr>
              <w:t>张</w:t>
            </w:r>
          </w:p>
        </w:tc>
      </w:tr>
      <w:tr w14:paraId="1BCD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5" w:type="pct"/>
            <w:vMerge w:val="continue"/>
          </w:tcPr>
          <w:p w14:paraId="1B4B9C92">
            <w:pPr>
              <w:spacing w:line="240" w:lineRule="auto"/>
              <w:ind w:firstLine="0" w:firstLineChars="0"/>
              <w:jc w:val="center"/>
              <w:rPr>
                <w:b/>
                <w:bCs/>
                <w:kern w:val="0"/>
              </w:rPr>
            </w:pPr>
          </w:p>
        </w:tc>
        <w:tc>
          <w:tcPr>
            <w:tcW w:w="2085" w:type="pct"/>
            <w:vAlign w:val="center"/>
          </w:tcPr>
          <w:p w14:paraId="616F7F30">
            <w:pPr>
              <w:spacing w:line="240" w:lineRule="auto"/>
              <w:ind w:firstLine="0" w:firstLineChars="0"/>
              <w:jc w:val="center"/>
              <w:rPr>
                <w:kern w:val="0"/>
              </w:rPr>
            </w:pPr>
            <w:r>
              <w:rPr>
                <w:rFonts w:hint="eastAsia"/>
                <w:kern w:val="0"/>
              </w:rPr>
              <w:t>硅胶头</w:t>
            </w:r>
          </w:p>
        </w:tc>
        <w:tc>
          <w:tcPr>
            <w:tcW w:w="910" w:type="pct"/>
          </w:tcPr>
          <w:p w14:paraId="5D8D07BB">
            <w:pPr>
              <w:spacing w:line="240" w:lineRule="auto"/>
              <w:ind w:firstLine="0" w:firstLineChars="0"/>
              <w:jc w:val="center"/>
              <w:rPr>
                <w:kern w:val="0"/>
              </w:rPr>
            </w:pPr>
            <w:r>
              <w:rPr>
                <w:rFonts w:hint="eastAsia"/>
                <w:kern w:val="0"/>
              </w:rPr>
              <w:t>5</w:t>
            </w:r>
          </w:p>
        </w:tc>
        <w:tc>
          <w:tcPr>
            <w:tcW w:w="1308" w:type="pct"/>
          </w:tcPr>
          <w:p w14:paraId="1172BC0D">
            <w:pPr>
              <w:spacing w:line="240" w:lineRule="auto"/>
              <w:ind w:firstLine="0" w:firstLineChars="0"/>
              <w:jc w:val="center"/>
              <w:rPr>
                <w:kern w:val="0"/>
              </w:rPr>
            </w:pPr>
            <w:r>
              <w:rPr>
                <w:rFonts w:hint="eastAsia"/>
                <w:kern w:val="0"/>
              </w:rPr>
              <w:t>个</w:t>
            </w:r>
          </w:p>
        </w:tc>
      </w:tr>
      <w:tr w14:paraId="299F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5" w:type="pct"/>
            <w:vMerge w:val="continue"/>
          </w:tcPr>
          <w:p w14:paraId="2BFD1B77">
            <w:pPr>
              <w:spacing w:line="240" w:lineRule="auto"/>
              <w:ind w:firstLine="0" w:firstLineChars="0"/>
              <w:jc w:val="center"/>
              <w:rPr>
                <w:b/>
                <w:bCs/>
                <w:kern w:val="0"/>
              </w:rPr>
            </w:pPr>
          </w:p>
        </w:tc>
        <w:tc>
          <w:tcPr>
            <w:tcW w:w="2085" w:type="pct"/>
            <w:vAlign w:val="center"/>
          </w:tcPr>
          <w:p w14:paraId="79775958">
            <w:pPr>
              <w:spacing w:line="240" w:lineRule="auto"/>
              <w:ind w:firstLine="0" w:firstLineChars="0"/>
              <w:jc w:val="center"/>
              <w:rPr>
                <w:kern w:val="0"/>
              </w:rPr>
            </w:pPr>
            <w:r>
              <w:rPr>
                <w:rFonts w:hint="eastAsia"/>
                <w:kern w:val="0"/>
              </w:rPr>
              <w:t>MED测试贴片</w:t>
            </w:r>
          </w:p>
        </w:tc>
        <w:tc>
          <w:tcPr>
            <w:tcW w:w="910" w:type="pct"/>
          </w:tcPr>
          <w:p w14:paraId="675A520B">
            <w:pPr>
              <w:spacing w:line="240" w:lineRule="auto"/>
              <w:ind w:firstLine="0" w:firstLineChars="0"/>
              <w:jc w:val="center"/>
              <w:rPr>
                <w:kern w:val="0"/>
              </w:rPr>
            </w:pPr>
            <w:r>
              <w:rPr>
                <w:kern w:val="0"/>
              </w:rPr>
              <w:t>100</w:t>
            </w:r>
          </w:p>
        </w:tc>
        <w:tc>
          <w:tcPr>
            <w:tcW w:w="1308" w:type="pct"/>
          </w:tcPr>
          <w:p w14:paraId="37671535">
            <w:pPr>
              <w:spacing w:line="240" w:lineRule="auto"/>
              <w:ind w:firstLine="0" w:firstLineChars="0"/>
              <w:jc w:val="center"/>
              <w:rPr>
                <w:kern w:val="0"/>
              </w:rPr>
            </w:pPr>
            <w:r>
              <w:rPr>
                <w:rFonts w:hint="eastAsia"/>
                <w:kern w:val="0"/>
              </w:rPr>
              <w:t>片</w:t>
            </w:r>
          </w:p>
        </w:tc>
      </w:tr>
    </w:tbl>
    <w:p w14:paraId="7218E1A3">
      <w:pPr>
        <w:spacing w:before="120" w:after="120" w:line="288" w:lineRule="auto"/>
        <w:ind w:firstLine="500"/>
        <w:jc w:val="left"/>
        <w:rPr>
          <w:rFonts w:ascii="Arial" w:hAnsi="Arial" w:eastAsia="等线" w:cs="Arial"/>
          <w:sz w:val="22"/>
        </w:rPr>
      </w:pPr>
      <w:r>
        <w:rPr>
          <w:rFonts w:ascii="Times New Roman" w:hAnsi="Times New Roman" w:eastAsia="等线" w:cs="Times New Roman"/>
          <w:sz w:val="22"/>
        </w:rPr>
        <w:t>如</w:t>
      </w:r>
      <w:r>
        <w:rPr>
          <w:rFonts w:ascii="Arial" w:hAnsi="Arial" w:eastAsia="等线" w:cs="Arial"/>
          <w:sz w:val="22"/>
        </w:rPr>
        <w:t>我方逾期未提供或提供</w:t>
      </w:r>
      <w:r>
        <w:rPr>
          <w:rFonts w:hint="eastAsia" w:ascii="Arial" w:hAnsi="Arial" w:eastAsia="等线" w:cs="Arial"/>
          <w:sz w:val="22"/>
        </w:rPr>
        <w:t>设备配置</w:t>
      </w:r>
      <w:r>
        <w:rPr>
          <w:rFonts w:ascii="Arial" w:hAnsi="Arial" w:eastAsia="等线" w:cs="Arial"/>
          <w:sz w:val="22"/>
        </w:rPr>
        <w:t>虚假、无效、不符要求，贵单位有权取消我方成交资格、终止合同、不予履约，并追究我方相应违约责任，由此产生一切损失由我方自行承担。</w:t>
      </w:r>
    </w:p>
    <w:p w14:paraId="573DB1C9">
      <w:pPr>
        <w:spacing w:before="120" w:after="120" w:line="288" w:lineRule="auto"/>
        <w:ind w:firstLine="500"/>
        <w:jc w:val="left"/>
        <w:rPr>
          <w:rFonts w:hint="eastAsia" w:ascii="Arial" w:hAnsi="Arial" w:eastAsia="等线" w:cs="Arial"/>
          <w:sz w:val="22"/>
          <w:lang w:eastAsia="zh-CN"/>
        </w:rPr>
      </w:pPr>
    </w:p>
    <w:p w14:paraId="14532515">
      <w:pPr>
        <w:spacing w:before="120" w:after="120" w:line="288" w:lineRule="auto"/>
        <w:ind w:firstLine="500"/>
        <w:jc w:val="left"/>
        <w:rPr>
          <w:rFonts w:hint="eastAsia" w:ascii="Arial" w:hAnsi="Arial" w:eastAsia="等线" w:cs="Arial"/>
          <w:sz w:val="22"/>
          <w:lang w:val="en-US" w:eastAsia="zh-CN"/>
        </w:rPr>
      </w:pPr>
      <w:r>
        <w:rPr>
          <w:rFonts w:hint="eastAsia" w:ascii="Arial" w:hAnsi="Arial" w:eastAsia="等线" w:cs="Arial"/>
          <w:sz w:val="22"/>
          <w:lang w:eastAsia="zh-CN"/>
        </w:rPr>
        <w:t>（</w:t>
      </w:r>
      <w:r>
        <w:rPr>
          <w:rFonts w:hint="eastAsia" w:ascii="Arial" w:hAnsi="Arial" w:eastAsia="等线" w:cs="Arial"/>
          <w:sz w:val="22"/>
          <w:lang w:val="en-US" w:eastAsia="zh-CN"/>
        </w:rPr>
        <w:t>如有补充，请根据实际情况调整表格及内容）</w:t>
      </w:r>
    </w:p>
    <w:p w14:paraId="0E877980">
      <w:pPr>
        <w:spacing w:before="120" w:after="120" w:line="288" w:lineRule="auto"/>
        <w:ind w:firstLine="500"/>
        <w:jc w:val="left"/>
        <w:rPr>
          <w:rFonts w:hint="default" w:ascii="Arial" w:hAnsi="Arial" w:eastAsia="等线" w:cs="Arial"/>
          <w:sz w:val="22"/>
        </w:rPr>
      </w:pPr>
    </w:p>
    <w:p w14:paraId="55186403">
      <w:pPr>
        <w:spacing w:before="120" w:after="120" w:line="288" w:lineRule="auto"/>
        <w:ind w:firstLine="500"/>
        <w:jc w:val="left"/>
        <w:rPr>
          <w:rFonts w:ascii="Arial" w:hAnsi="Arial" w:eastAsia="等线" w:cs="Arial"/>
          <w:sz w:val="22"/>
        </w:rPr>
      </w:pPr>
      <w:r>
        <w:rPr>
          <w:rFonts w:ascii="Arial" w:hAnsi="Arial" w:eastAsia="等线" w:cs="Arial"/>
          <w:sz w:val="22"/>
        </w:rPr>
        <w:t>本承诺真实有效，具有法律效力。</w:t>
      </w:r>
    </w:p>
    <w:p w14:paraId="4E224162">
      <w:pPr>
        <w:spacing w:before="120" w:after="120" w:line="288" w:lineRule="auto"/>
        <w:ind w:firstLine="500"/>
        <w:jc w:val="left"/>
        <w:rPr>
          <w:rFonts w:ascii="Arial" w:hAnsi="Arial" w:eastAsia="等线" w:cs="Arial"/>
          <w:sz w:val="22"/>
        </w:rPr>
      </w:pPr>
      <w:r>
        <w:rPr>
          <w:rFonts w:ascii="Arial" w:hAnsi="Arial" w:eastAsia="等线" w:cs="Arial"/>
          <w:sz w:val="22"/>
        </w:rPr>
        <w:t>特此承诺！</w:t>
      </w:r>
    </w:p>
    <w:p w14:paraId="7E1B2C86">
      <w:pPr>
        <w:spacing w:before="120" w:after="120" w:line="288" w:lineRule="auto"/>
        <w:ind w:firstLine="4020" w:firstLineChars="2000"/>
        <w:jc w:val="left"/>
      </w:pPr>
      <w:r>
        <w:rPr>
          <w:rFonts w:ascii="Arial" w:hAnsi="Arial" w:eastAsia="等线" w:cs="Arial"/>
          <w:sz w:val="22"/>
        </w:rPr>
        <w:t>承诺单位（盖章）：__________</w:t>
      </w:r>
    </w:p>
    <w:p w14:paraId="4D1C2B69">
      <w:pPr>
        <w:spacing w:before="120" w:after="120" w:line="288" w:lineRule="auto"/>
        <w:ind w:firstLine="4020" w:firstLineChars="2000"/>
        <w:jc w:val="left"/>
      </w:pPr>
      <w:r>
        <w:rPr>
          <w:rFonts w:ascii="Arial" w:hAnsi="Arial" w:eastAsia="等线" w:cs="Arial"/>
          <w:sz w:val="22"/>
        </w:rPr>
        <w:t>法定代表人/授权代表：__________</w:t>
      </w:r>
    </w:p>
    <w:p w14:paraId="7654948B">
      <w:pPr>
        <w:spacing w:before="120" w:after="120" w:line="288" w:lineRule="auto"/>
        <w:ind w:firstLine="4020" w:firstLineChars="2000"/>
        <w:jc w:val="left"/>
      </w:pPr>
      <w:r>
        <w:rPr>
          <w:rFonts w:ascii="Arial" w:hAnsi="Arial" w:eastAsia="等线" w:cs="Arial"/>
          <w:sz w:val="22"/>
        </w:rPr>
        <w:t>联系电话：__________</w:t>
      </w:r>
    </w:p>
    <w:p w14:paraId="494FC509">
      <w:pPr>
        <w:spacing w:before="120" w:after="120" w:line="288" w:lineRule="auto"/>
        <w:ind w:firstLine="4020" w:firstLineChars="2000"/>
        <w:jc w:val="left"/>
      </w:pPr>
      <w:r>
        <w:rPr>
          <w:rFonts w:ascii="Arial" w:hAnsi="Arial" w:eastAsia="等线" w:cs="Arial"/>
          <w:sz w:val="22"/>
        </w:rPr>
        <w:t>日期：______年____月____日</w:t>
      </w:r>
    </w:p>
    <w:p w14:paraId="422F8BB6">
      <w:pPr>
        <w:pStyle w:val="13"/>
        <w:spacing w:line="560" w:lineRule="exact"/>
        <w:ind w:right="0" w:rightChars="0" w:firstLine="442" w:firstLineChars="200"/>
        <w:jc w:val="right"/>
        <w:rPr>
          <w:rFonts w:hint="eastAsia" w:eastAsia="仿宋_GB2312"/>
          <w:lang w:eastAsia="zh-CN"/>
        </w:rPr>
      </w:pPr>
    </w:p>
    <w:sectPr>
      <w:footerReference r:id="rId10" w:type="first"/>
      <w:headerReference r:id="rId8" w:type="default"/>
      <w:footerReference r:id="rId9" w:type="default"/>
      <w:pgSz w:w="11906" w:h="16838"/>
      <w:pgMar w:top="1418" w:right="1134" w:bottom="1134" w:left="1418" w:header="851" w:footer="992" w:gutter="0"/>
      <w:cols w:space="720" w:num="1"/>
      <w:docGrid w:type="linesAndChars" w:linePitch="291"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9C9390F-7572-40F3-B240-886B2A897D13}"/>
  </w:font>
  <w:font w:name="黑体">
    <w:panose1 w:val="02010609060101010101"/>
    <w:charset w:val="86"/>
    <w:family w:val="auto"/>
    <w:pitch w:val="default"/>
    <w:sig w:usb0="800002BF" w:usb1="38CF7CFA" w:usb2="00000016" w:usb3="00000000" w:csb0="00040001" w:csb1="00000000"/>
    <w:embedRegular r:id="rId2" w:fontKey="{5B4C1527-F00C-45C0-883D-FDB25076A9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embedRegular r:id="rId3" w:fontKey="{48FFC38B-152C-424A-8B60-109C01099072}"/>
  </w:font>
  <w:font w:name="仿宋">
    <w:panose1 w:val="02010609060101010101"/>
    <w:charset w:val="86"/>
    <w:family w:val="modern"/>
    <w:pitch w:val="default"/>
    <w:sig w:usb0="800002BF" w:usb1="38CF7CFA" w:usb2="00000016" w:usb3="00000000" w:csb0="00040001" w:csb1="00000000"/>
    <w:embedRegular r:id="rId4" w:fontKey="{A2A2A925-8D1E-4B41-A9A4-1D6AA3ADE28D}"/>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embedRegular r:id="rId5" w:fontKey="{9E846027-CC33-4D0F-ADE3-869F8FCC8633}"/>
  </w:font>
  <w:font w:name="楷体">
    <w:panose1 w:val="02010609060101010101"/>
    <w:charset w:val="86"/>
    <w:family w:val="modern"/>
    <w:pitch w:val="default"/>
    <w:sig w:usb0="800002BF" w:usb1="38CF7CFA" w:usb2="00000016" w:usb3="00000000" w:csb0="00040001" w:csb1="00000000"/>
    <w:embedRegular r:id="rId6" w:fontKey="{3B5FA4A8-5C0F-4184-A773-8FCCBB9CE8D2}"/>
  </w:font>
  <w:font w:name="等线">
    <w:panose1 w:val="02010600030101010101"/>
    <w:charset w:val="86"/>
    <w:family w:val="auto"/>
    <w:pitch w:val="default"/>
    <w:sig w:usb0="A00002BF" w:usb1="38CF7CFA" w:usb2="00000016" w:usb3="00000000" w:csb0="0004000F" w:csb1="00000000"/>
    <w:embedRegular r:id="rId7" w:fontKey="{45F6D4D3-1D52-4C62-8730-F3F70F3E9183}"/>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06" w:usb3="00000000" w:csb0="00040001" w:csb1="00000000"/>
    <w:embedRegular r:id="rId8" w:fontKey="{473A7D18-E92B-4155-9922-DCE821D681FA}"/>
  </w:font>
  <w:font w:name="方正公文小标宋">
    <w:altName w:val="宋体"/>
    <w:panose1 w:val="00000000000000000000"/>
    <w:charset w:val="86"/>
    <w:family w:val="auto"/>
    <w:pitch w:val="default"/>
    <w:sig w:usb0="00000000" w:usb1="00000000" w:usb2="00000006" w:usb3="00000000" w:csb0="00040001" w:csb1="00000000"/>
    <w:embedRegular r:id="rId9" w:fontKey="{A2935C9D-0CC3-4EB5-A163-E5FB2DE198BD}"/>
  </w:font>
  <w:font w:name="KSOF439EEF50">
    <w:panose1 w:val="02010609060101010101"/>
    <w:charset w:val="86"/>
    <w:family w:val="auto"/>
    <w:pitch w:val="default"/>
    <w:sig w:usb0="00000001" w:usb1="00000000" w:usb2="00000000" w:usb3="00000000" w:csb0="00040001" w:csb1="00000000"/>
  </w:font>
  <w:font w:name="KSOF987E8EC0">
    <w:panose1 w:val="020B0704020202020204"/>
    <w:charset w:val="86"/>
    <w:family w:val="auto"/>
    <w:pitch w:val="default"/>
    <w:sig w:usb0="00000001" w:usb1="00000000" w:usb2="00000000" w:usb3="00000000" w:csb0="003E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BA97A">
    <w:pPr>
      <w:pStyle w:val="21"/>
      <w:jc w:val="center"/>
    </w:pPr>
    <w:r>
      <w:fldChar w:fldCharType="begin"/>
    </w:r>
    <w:r>
      <w:instrText xml:space="preserve">PAGE   \* MERGEFORMAT</w:instrText>
    </w:r>
    <w:r>
      <w:fldChar w:fldCharType="separate"/>
    </w:r>
    <w:r>
      <w:rPr>
        <w:lang w:val="zh-CN"/>
      </w:rPr>
      <w:t>26</w:t>
    </w:r>
    <w:r>
      <w:fldChar w:fldCharType="end"/>
    </w:r>
  </w:p>
  <w:p w14:paraId="4FA1637E">
    <w:pPr>
      <w:pStyle w:val="21"/>
      <w:ind w:right="360"/>
      <w:rPr>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C3BE8">
    <w:pPr>
      <w:pStyle w:val="21"/>
      <w:framePr w:wrap="around" w:vAnchor="text" w:hAnchor="margin" w:xAlign="center" w:y="1"/>
      <w:rPr>
        <w:rStyle w:val="38"/>
      </w:rPr>
    </w:pPr>
    <w:r>
      <w:fldChar w:fldCharType="begin"/>
    </w:r>
    <w:r>
      <w:rPr>
        <w:rStyle w:val="38"/>
      </w:rPr>
      <w:instrText xml:space="preserve">PAGE  </w:instrText>
    </w:r>
    <w:r>
      <w:fldChar w:fldCharType="end"/>
    </w:r>
  </w:p>
  <w:p w14:paraId="31E3009C">
    <w:pPr>
      <w:pStyle w:val="2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B0D1C">
    <w:pPr>
      <w:pStyle w:val="21"/>
      <w:jc w:val="center"/>
    </w:pPr>
    <w:r>
      <w:fldChar w:fldCharType="begin"/>
    </w:r>
    <w:r>
      <w:instrText xml:space="preserve">PAGE   \* MERGEFORMAT</w:instrText>
    </w:r>
    <w:r>
      <w:fldChar w:fldCharType="separate"/>
    </w:r>
    <w:r>
      <w:rPr>
        <w:lang w:val="zh-CN"/>
      </w:rPr>
      <w:t>4</w:t>
    </w:r>
    <w:r>
      <w:fldChar w:fldCharType="end"/>
    </w:r>
  </w:p>
  <w:p w14:paraId="46D2C6F5">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83463">
    <w:pPr>
      <w:pStyle w:val="21"/>
      <w:jc w:val="center"/>
    </w:pPr>
    <w:r>
      <w:fldChar w:fldCharType="begin"/>
    </w:r>
    <w:r>
      <w:instrText xml:space="preserve">PAGE   \* MERGEFORMAT</w:instrText>
    </w:r>
    <w:r>
      <w:fldChar w:fldCharType="separate"/>
    </w:r>
    <w:r>
      <w:rPr>
        <w:lang w:val="zh-CN"/>
      </w:rPr>
      <w:t>23</w:t>
    </w:r>
    <w:r>
      <w:fldChar w:fldCharType="end"/>
    </w:r>
  </w:p>
  <w:p w14:paraId="3D6E91EE">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DD3A7">
    <w:pPr>
      <w:pStyle w:val="21"/>
      <w:jc w:val="center"/>
    </w:pPr>
    <w:r>
      <w:fldChar w:fldCharType="begin"/>
    </w:r>
    <w:r>
      <w:instrText xml:space="preserve">PAGE   \* MERGEFORMAT</w:instrText>
    </w:r>
    <w:r>
      <w:fldChar w:fldCharType="separate"/>
    </w:r>
    <w:r>
      <w:rPr>
        <w:lang w:val="zh-CN"/>
      </w:rPr>
      <w:t>54</w:t>
    </w:r>
    <w:r>
      <w:fldChar w:fldCharType="end"/>
    </w:r>
  </w:p>
  <w:p w14:paraId="234D8A0E">
    <w:pPr>
      <w:pStyle w:val="21"/>
      <w:ind w:right="360"/>
      <w:rPr>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6FC3B">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2793E">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7585A">
    <w:pPr>
      <w:tabs>
        <w:tab w:val="left" w:pos="2568"/>
        <w:tab w:val="center" w:pos="5075"/>
      </w:tabs>
      <w:spacing w:line="276" w:lineRule="auto"/>
      <w:ind w:right="480"/>
      <w:jc w:val="left"/>
      <w:rPr>
        <w:bC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F28D"/>
    <w:multiLevelType w:val="singleLevel"/>
    <w:tmpl w:val="80F8F28D"/>
    <w:lvl w:ilvl="0" w:tentative="0">
      <w:start w:val="1"/>
      <w:numFmt w:val="decimal"/>
      <w:suff w:val="nothing"/>
      <w:lvlText w:val="（%1）"/>
      <w:lvlJc w:val="left"/>
    </w:lvl>
  </w:abstractNum>
  <w:abstractNum w:abstractNumId="1">
    <w:nsid w:val="877F8E2E"/>
    <w:multiLevelType w:val="singleLevel"/>
    <w:tmpl w:val="877F8E2E"/>
    <w:lvl w:ilvl="0" w:tentative="0">
      <w:start w:val="1"/>
      <w:numFmt w:val="chineseCounting"/>
      <w:suff w:val="nothing"/>
      <w:lvlText w:val="（%1）"/>
      <w:lvlJc w:val="left"/>
      <w:rPr>
        <w:rFonts w:hint="eastAsia"/>
      </w:rPr>
    </w:lvl>
  </w:abstractNum>
  <w:abstractNum w:abstractNumId="2">
    <w:nsid w:val="8EC81F85"/>
    <w:multiLevelType w:val="multilevel"/>
    <w:tmpl w:val="8EC81F85"/>
    <w:lvl w:ilvl="0" w:tentative="0">
      <w:start w:val="1"/>
      <w:numFmt w:val="chineseCountingThousand"/>
      <w:lvlText w:val="%1、"/>
      <w:lvlJc w:val="left"/>
      <w:pPr>
        <w:tabs>
          <w:tab w:val="left" w:pos="3652"/>
        </w:tabs>
        <w:ind w:left="3652"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B70C95B7"/>
    <w:multiLevelType w:val="singleLevel"/>
    <w:tmpl w:val="B70C95B7"/>
    <w:lvl w:ilvl="0" w:tentative="0">
      <w:start w:val="1"/>
      <w:numFmt w:val="decimal"/>
      <w:pStyle w:val="10"/>
      <w:lvlText w:val="%1."/>
      <w:lvlJc w:val="left"/>
      <w:pPr>
        <w:tabs>
          <w:tab w:val="left" w:pos="360"/>
        </w:tabs>
        <w:ind w:left="360" w:hanging="360"/>
      </w:pPr>
    </w:lvl>
  </w:abstractNum>
  <w:abstractNum w:abstractNumId="4">
    <w:nsid w:val="CBC1BAEF"/>
    <w:multiLevelType w:val="singleLevel"/>
    <w:tmpl w:val="CBC1BAEF"/>
    <w:lvl w:ilvl="0" w:tentative="0">
      <w:start w:val="1"/>
      <w:numFmt w:val="chineseCounting"/>
      <w:suff w:val="nothing"/>
      <w:lvlText w:val="%1、"/>
      <w:lvlJc w:val="left"/>
      <w:rPr>
        <w:rFonts w:hint="eastAsia"/>
      </w:rPr>
    </w:lvl>
  </w:abstractNum>
  <w:abstractNum w:abstractNumId="5">
    <w:nsid w:val="EDBEDE0B"/>
    <w:multiLevelType w:val="singleLevel"/>
    <w:tmpl w:val="EDBEDE0B"/>
    <w:lvl w:ilvl="0" w:tentative="0">
      <w:start w:val="1"/>
      <w:numFmt w:val="chineseCounting"/>
      <w:suff w:val="space"/>
      <w:lvlText w:val="第%1部分"/>
      <w:lvlJc w:val="left"/>
      <w:rPr>
        <w:rFonts w:hint="eastAsia"/>
      </w:rPr>
    </w:lvl>
  </w:abstractNum>
  <w:abstractNum w:abstractNumId="6">
    <w:nsid w:val="00000036"/>
    <w:multiLevelType w:val="multilevel"/>
    <w:tmpl w:val="00000036"/>
    <w:lvl w:ilvl="0" w:tentative="0">
      <w:start w:val="1"/>
      <w:numFmt w:val="chineseCountingThousand"/>
      <w:lvlText w:val="%1、"/>
      <w:lvlJc w:val="left"/>
      <w:pPr>
        <w:tabs>
          <w:tab w:val="left" w:pos="3652"/>
        </w:tabs>
        <w:ind w:left="3652"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8C97DB9"/>
    <w:multiLevelType w:val="singleLevel"/>
    <w:tmpl w:val="18C97DB9"/>
    <w:lvl w:ilvl="0" w:tentative="0">
      <w:start w:val="2"/>
      <w:numFmt w:val="decimal"/>
      <w:suff w:val="nothing"/>
      <w:lvlText w:val="（%1）"/>
      <w:lvlJc w:val="left"/>
    </w:lvl>
  </w:abstractNum>
  <w:abstractNum w:abstractNumId="8">
    <w:nsid w:val="287C9DD4"/>
    <w:multiLevelType w:val="singleLevel"/>
    <w:tmpl w:val="287C9DD4"/>
    <w:lvl w:ilvl="0" w:tentative="0">
      <w:start w:val="3"/>
      <w:numFmt w:val="decimal"/>
      <w:suff w:val="nothing"/>
      <w:lvlText w:val="%1、"/>
      <w:lvlJc w:val="left"/>
    </w:lvl>
  </w:abstractNum>
  <w:abstractNum w:abstractNumId="9">
    <w:nsid w:val="3F449505"/>
    <w:multiLevelType w:val="singleLevel"/>
    <w:tmpl w:val="3F449505"/>
    <w:lvl w:ilvl="0" w:tentative="0">
      <w:start w:val="35"/>
      <w:numFmt w:val="decimal"/>
      <w:suff w:val="space"/>
      <w:lvlText w:val="%1."/>
      <w:lvlJc w:val="left"/>
    </w:lvl>
  </w:abstractNum>
  <w:abstractNum w:abstractNumId="10">
    <w:nsid w:val="40D4A883"/>
    <w:multiLevelType w:val="singleLevel"/>
    <w:tmpl w:val="40D4A883"/>
    <w:lvl w:ilvl="0" w:tentative="0">
      <w:start w:val="32"/>
      <w:numFmt w:val="decimal"/>
      <w:suff w:val="space"/>
      <w:lvlText w:val="%1."/>
      <w:lvlJc w:val="left"/>
    </w:lvl>
  </w:abstractNum>
  <w:abstractNum w:abstractNumId="11">
    <w:nsid w:val="413438F4"/>
    <w:multiLevelType w:val="multilevel"/>
    <w:tmpl w:val="413438F4"/>
    <w:lvl w:ilvl="0" w:tentative="0">
      <w:start w:val="1"/>
      <w:numFmt w:val="decimal"/>
      <w:lvlText w:val="（%1）"/>
      <w:lvlJc w:val="left"/>
      <w:pPr>
        <w:tabs>
          <w:tab w:val="left" w:pos="1648"/>
        </w:tabs>
        <w:ind w:left="1648" w:hanging="720"/>
      </w:pPr>
      <w:rPr>
        <w:rFonts w:hint="eastAsia"/>
      </w:rPr>
    </w:lvl>
    <w:lvl w:ilvl="1" w:tentative="0">
      <w:start w:val="1"/>
      <w:numFmt w:val="lowerLetter"/>
      <w:lvlText w:val="%2)"/>
      <w:lvlJc w:val="left"/>
      <w:pPr>
        <w:tabs>
          <w:tab w:val="left" w:pos="1768"/>
        </w:tabs>
        <w:ind w:left="1768" w:hanging="420"/>
      </w:pPr>
    </w:lvl>
    <w:lvl w:ilvl="2" w:tentative="0">
      <w:start w:val="1"/>
      <w:numFmt w:val="lowerRoman"/>
      <w:lvlText w:val="%3."/>
      <w:lvlJc w:val="right"/>
      <w:pPr>
        <w:tabs>
          <w:tab w:val="left" w:pos="2188"/>
        </w:tabs>
        <w:ind w:left="2188" w:hanging="420"/>
      </w:pPr>
    </w:lvl>
    <w:lvl w:ilvl="3" w:tentative="0">
      <w:start w:val="1"/>
      <w:numFmt w:val="decimal"/>
      <w:lvlText w:val="%4."/>
      <w:lvlJc w:val="left"/>
      <w:pPr>
        <w:tabs>
          <w:tab w:val="left" w:pos="2608"/>
        </w:tabs>
        <w:ind w:left="2608" w:hanging="420"/>
      </w:pPr>
    </w:lvl>
    <w:lvl w:ilvl="4" w:tentative="0">
      <w:start w:val="1"/>
      <w:numFmt w:val="lowerLetter"/>
      <w:lvlText w:val="%5)"/>
      <w:lvlJc w:val="left"/>
      <w:pPr>
        <w:tabs>
          <w:tab w:val="left" w:pos="3028"/>
        </w:tabs>
        <w:ind w:left="3028" w:hanging="420"/>
      </w:pPr>
    </w:lvl>
    <w:lvl w:ilvl="5" w:tentative="0">
      <w:start w:val="1"/>
      <w:numFmt w:val="lowerRoman"/>
      <w:lvlText w:val="%6."/>
      <w:lvlJc w:val="right"/>
      <w:pPr>
        <w:tabs>
          <w:tab w:val="left" w:pos="3448"/>
        </w:tabs>
        <w:ind w:left="3448" w:hanging="420"/>
      </w:pPr>
    </w:lvl>
    <w:lvl w:ilvl="6" w:tentative="0">
      <w:start w:val="1"/>
      <w:numFmt w:val="decimal"/>
      <w:lvlText w:val="%7."/>
      <w:lvlJc w:val="left"/>
      <w:pPr>
        <w:tabs>
          <w:tab w:val="left" w:pos="3868"/>
        </w:tabs>
        <w:ind w:left="3868" w:hanging="420"/>
      </w:pPr>
    </w:lvl>
    <w:lvl w:ilvl="7" w:tentative="0">
      <w:start w:val="1"/>
      <w:numFmt w:val="lowerLetter"/>
      <w:lvlText w:val="%8)"/>
      <w:lvlJc w:val="left"/>
      <w:pPr>
        <w:tabs>
          <w:tab w:val="left" w:pos="4288"/>
        </w:tabs>
        <w:ind w:left="4288" w:hanging="420"/>
      </w:pPr>
    </w:lvl>
    <w:lvl w:ilvl="8" w:tentative="0">
      <w:start w:val="1"/>
      <w:numFmt w:val="lowerRoman"/>
      <w:lvlText w:val="%9."/>
      <w:lvlJc w:val="right"/>
      <w:pPr>
        <w:tabs>
          <w:tab w:val="left" w:pos="4708"/>
        </w:tabs>
        <w:ind w:left="4708" w:hanging="420"/>
      </w:pPr>
    </w:lvl>
  </w:abstractNum>
  <w:abstractNum w:abstractNumId="12">
    <w:nsid w:val="5911300C"/>
    <w:multiLevelType w:val="singleLevel"/>
    <w:tmpl w:val="5911300C"/>
    <w:lvl w:ilvl="0" w:tentative="0">
      <w:start w:val="1"/>
      <w:numFmt w:val="upperLetter"/>
      <w:pStyle w:val="6"/>
      <w:lvlText w:val="%1."/>
      <w:lvlJc w:val="left"/>
      <w:pPr>
        <w:tabs>
          <w:tab w:val="left" w:pos="425"/>
        </w:tabs>
        <w:ind w:left="425" w:hanging="425"/>
      </w:pPr>
    </w:lvl>
  </w:abstractNum>
  <w:abstractNum w:abstractNumId="13">
    <w:nsid w:val="5FF7B686"/>
    <w:multiLevelType w:val="singleLevel"/>
    <w:tmpl w:val="5FF7B686"/>
    <w:lvl w:ilvl="0" w:tentative="0">
      <w:start w:val="1"/>
      <w:numFmt w:val="decimal"/>
      <w:suff w:val="nothing"/>
      <w:lvlText w:val="（%1）"/>
      <w:lvlJc w:val="left"/>
    </w:lvl>
  </w:abstractNum>
  <w:abstractNum w:abstractNumId="14">
    <w:nsid w:val="6162BFA9"/>
    <w:multiLevelType w:val="singleLevel"/>
    <w:tmpl w:val="6162BFA9"/>
    <w:lvl w:ilvl="0" w:tentative="0">
      <w:start w:val="1"/>
      <w:numFmt w:val="chineseCounting"/>
      <w:suff w:val="nothing"/>
      <w:lvlText w:val="%1、"/>
      <w:lvlJc w:val="left"/>
      <w:rPr>
        <w:rFonts w:hint="eastAsia"/>
      </w:rPr>
    </w:lvl>
  </w:abstractNum>
  <w:abstractNum w:abstractNumId="15">
    <w:nsid w:val="62F81591"/>
    <w:multiLevelType w:val="multilevel"/>
    <w:tmpl w:val="62F81591"/>
    <w:lvl w:ilvl="0" w:tentative="0">
      <w:start w:val="1"/>
      <w:numFmt w:val="decimal"/>
      <w:lvlText w:val="%1."/>
      <w:lvlJc w:val="left"/>
      <w:pPr>
        <w:ind w:left="802" w:hanging="360"/>
      </w:pPr>
      <w:rPr>
        <w:rFonts w:hint="default"/>
      </w:rPr>
    </w:lvl>
    <w:lvl w:ilvl="1" w:tentative="0">
      <w:start w:val="1"/>
      <w:numFmt w:val="lowerLetter"/>
      <w:lvlText w:val="%2)"/>
      <w:lvlJc w:val="left"/>
      <w:pPr>
        <w:ind w:left="1322" w:hanging="440"/>
      </w:pPr>
    </w:lvl>
    <w:lvl w:ilvl="2" w:tentative="0">
      <w:start w:val="1"/>
      <w:numFmt w:val="lowerRoman"/>
      <w:lvlText w:val="%3."/>
      <w:lvlJc w:val="right"/>
      <w:pPr>
        <w:ind w:left="1762" w:hanging="440"/>
      </w:pPr>
    </w:lvl>
    <w:lvl w:ilvl="3" w:tentative="0">
      <w:start w:val="1"/>
      <w:numFmt w:val="decimal"/>
      <w:lvlText w:val="%4."/>
      <w:lvlJc w:val="left"/>
      <w:pPr>
        <w:ind w:left="2202" w:hanging="440"/>
      </w:pPr>
    </w:lvl>
    <w:lvl w:ilvl="4" w:tentative="0">
      <w:start w:val="1"/>
      <w:numFmt w:val="lowerLetter"/>
      <w:lvlText w:val="%5)"/>
      <w:lvlJc w:val="left"/>
      <w:pPr>
        <w:ind w:left="2642" w:hanging="440"/>
      </w:pPr>
    </w:lvl>
    <w:lvl w:ilvl="5" w:tentative="0">
      <w:start w:val="1"/>
      <w:numFmt w:val="lowerRoman"/>
      <w:lvlText w:val="%6."/>
      <w:lvlJc w:val="right"/>
      <w:pPr>
        <w:ind w:left="3082" w:hanging="440"/>
      </w:pPr>
    </w:lvl>
    <w:lvl w:ilvl="6" w:tentative="0">
      <w:start w:val="1"/>
      <w:numFmt w:val="decimal"/>
      <w:lvlText w:val="%7."/>
      <w:lvlJc w:val="left"/>
      <w:pPr>
        <w:ind w:left="3522" w:hanging="440"/>
      </w:pPr>
    </w:lvl>
    <w:lvl w:ilvl="7" w:tentative="0">
      <w:start w:val="1"/>
      <w:numFmt w:val="lowerLetter"/>
      <w:lvlText w:val="%8)"/>
      <w:lvlJc w:val="left"/>
      <w:pPr>
        <w:ind w:left="3962" w:hanging="440"/>
      </w:pPr>
    </w:lvl>
    <w:lvl w:ilvl="8" w:tentative="0">
      <w:start w:val="1"/>
      <w:numFmt w:val="lowerRoman"/>
      <w:lvlText w:val="%9."/>
      <w:lvlJc w:val="right"/>
      <w:pPr>
        <w:ind w:left="4402" w:hanging="440"/>
      </w:pPr>
    </w:lvl>
  </w:abstractNum>
  <w:abstractNum w:abstractNumId="16">
    <w:nsid w:val="668716A9"/>
    <w:multiLevelType w:val="singleLevel"/>
    <w:tmpl w:val="668716A9"/>
    <w:lvl w:ilvl="0" w:tentative="0">
      <w:start w:val="25"/>
      <w:numFmt w:val="decimal"/>
      <w:suff w:val="space"/>
      <w:lvlText w:val="%1."/>
      <w:lvlJc w:val="left"/>
    </w:lvl>
  </w:abstractNum>
  <w:abstractNum w:abstractNumId="17">
    <w:nsid w:val="66B27DCD"/>
    <w:multiLevelType w:val="singleLevel"/>
    <w:tmpl w:val="66B27DCD"/>
    <w:lvl w:ilvl="0" w:tentative="0">
      <w:start w:val="1"/>
      <w:numFmt w:val="upperLetter"/>
      <w:pStyle w:val="9"/>
      <w:lvlText w:val="%1."/>
      <w:lvlJc w:val="left"/>
      <w:pPr>
        <w:tabs>
          <w:tab w:val="left" w:pos="405"/>
        </w:tabs>
        <w:ind w:left="405" w:hanging="300"/>
      </w:pPr>
      <w:rPr>
        <w:rFonts w:hint="default"/>
      </w:rPr>
    </w:lvl>
  </w:abstractNum>
  <w:num w:numId="1">
    <w:abstractNumId w:val="12"/>
  </w:num>
  <w:num w:numId="2">
    <w:abstractNumId w:val="17"/>
  </w:num>
  <w:num w:numId="3">
    <w:abstractNumId w:val="3"/>
  </w:num>
  <w:num w:numId="4">
    <w:abstractNumId w:val="5"/>
  </w:num>
  <w:num w:numId="5">
    <w:abstractNumId w:val="4"/>
  </w:num>
  <w:num w:numId="6">
    <w:abstractNumId w:val="15"/>
  </w:num>
  <w:num w:numId="7">
    <w:abstractNumId w:val="14"/>
  </w:num>
  <w:num w:numId="8">
    <w:abstractNumId w:val="1"/>
  </w:num>
  <w:num w:numId="9">
    <w:abstractNumId w:val="6"/>
  </w:num>
  <w:num w:numId="10">
    <w:abstractNumId w:val="2"/>
  </w:num>
  <w:num w:numId="11">
    <w:abstractNumId w:val="16"/>
  </w:num>
  <w:num w:numId="12">
    <w:abstractNumId w:val="13"/>
  </w:num>
  <w:num w:numId="13">
    <w:abstractNumId w:val="0"/>
  </w:num>
  <w:num w:numId="14">
    <w:abstractNumId w:val="10"/>
  </w:num>
  <w:num w:numId="15">
    <w:abstractNumId w:val="9"/>
  </w:num>
  <w:num w:numId="16">
    <w:abstractNumId w:val="11"/>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91"/>
  <w:drawingGridVerticalSpacing w:val="29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wNWUwYjgwYWQ0ZGM1MTI0Y2U0MWEwYWVhOGM4NTMifQ=="/>
  </w:docVars>
  <w:rsids>
    <w:rsidRoot w:val="004C3D73"/>
    <w:rsid w:val="00004D8F"/>
    <w:rsid w:val="00006DEE"/>
    <w:rsid w:val="00010A96"/>
    <w:rsid w:val="000121E2"/>
    <w:rsid w:val="00013B45"/>
    <w:rsid w:val="000142C5"/>
    <w:rsid w:val="00014490"/>
    <w:rsid w:val="00015313"/>
    <w:rsid w:val="00016826"/>
    <w:rsid w:val="00017D11"/>
    <w:rsid w:val="00020D7E"/>
    <w:rsid w:val="00024B5B"/>
    <w:rsid w:val="0002633C"/>
    <w:rsid w:val="00026E2A"/>
    <w:rsid w:val="00027D4D"/>
    <w:rsid w:val="00030A58"/>
    <w:rsid w:val="00030BB9"/>
    <w:rsid w:val="00030C5E"/>
    <w:rsid w:val="00034334"/>
    <w:rsid w:val="00034FEB"/>
    <w:rsid w:val="0003512C"/>
    <w:rsid w:val="00035F9D"/>
    <w:rsid w:val="00036927"/>
    <w:rsid w:val="00037DAD"/>
    <w:rsid w:val="0004049F"/>
    <w:rsid w:val="00040C6F"/>
    <w:rsid w:val="00041617"/>
    <w:rsid w:val="0004445D"/>
    <w:rsid w:val="0004613C"/>
    <w:rsid w:val="0004774B"/>
    <w:rsid w:val="00047873"/>
    <w:rsid w:val="000505E1"/>
    <w:rsid w:val="000508B6"/>
    <w:rsid w:val="0005136E"/>
    <w:rsid w:val="00051522"/>
    <w:rsid w:val="00053034"/>
    <w:rsid w:val="00054FB2"/>
    <w:rsid w:val="00060731"/>
    <w:rsid w:val="00062B0F"/>
    <w:rsid w:val="000655F9"/>
    <w:rsid w:val="00066DEF"/>
    <w:rsid w:val="000705BF"/>
    <w:rsid w:val="00072AA3"/>
    <w:rsid w:val="00074CDE"/>
    <w:rsid w:val="00075DA9"/>
    <w:rsid w:val="00077323"/>
    <w:rsid w:val="000803FD"/>
    <w:rsid w:val="00082488"/>
    <w:rsid w:val="00087AD1"/>
    <w:rsid w:val="00094541"/>
    <w:rsid w:val="00095845"/>
    <w:rsid w:val="000A2A93"/>
    <w:rsid w:val="000A2E2D"/>
    <w:rsid w:val="000A3DDA"/>
    <w:rsid w:val="000A41AC"/>
    <w:rsid w:val="000A45C2"/>
    <w:rsid w:val="000A5209"/>
    <w:rsid w:val="000A58B8"/>
    <w:rsid w:val="000B0B6B"/>
    <w:rsid w:val="000B1F3F"/>
    <w:rsid w:val="000B4850"/>
    <w:rsid w:val="000B5D2A"/>
    <w:rsid w:val="000C039D"/>
    <w:rsid w:val="000C2A50"/>
    <w:rsid w:val="000C5050"/>
    <w:rsid w:val="000C69A1"/>
    <w:rsid w:val="000D0B98"/>
    <w:rsid w:val="000D1030"/>
    <w:rsid w:val="000D10DB"/>
    <w:rsid w:val="000D1452"/>
    <w:rsid w:val="000D1766"/>
    <w:rsid w:val="000D1B50"/>
    <w:rsid w:val="000D3330"/>
    <w:rsid w:val="000D3CA5"/>
    <w:rsid w:val="000D5E85"/>
    <w:rsid w:val="000D66A1"/>
    <w:rsid w:val="000E00A9"/>
    <w:rsid w:val="000E1937"/>
    <w:rsid w:val="000E44A8"/>
    <w:rsid w:val="000E4DD9"/>
    <w:rsid w:val="000E52EC"/>
    <w:rsid w:val="000E69C6"/>
    <w:rsid w:val="000F0F26"/>
    <w:rsid w:val="000F45B1"/>
    <w:rsid w:val="001001BC"/>
    <w:rsid w:val="001003C8"/>
    <w:rsid w:val="0010040C"/>
    <w:rsid w:val="001009C4"/>
    <w:rsid w:val="001021B9"/>
    <w:rsid w:val="001026D4"/>
    <w:rsid w:val="0010328B"/>
    <w:rsid w:val="00104457"/>
    <w:rsid w:val="00106E50"/>
    <w:rsid w:val="00107C67"/>
    <w:rsid w:val="001114C8"/>
    <w:rsid w:val="00112CA8"/>
    <w:rsid w:val="00113A61"/>
    <w:rsid w:val="00117FD8"/>
    <w:rsid w:val="00121394"/>
    <w:rsid w:val="00122207"/>
    <w:rsid w:val="00123457"/>
    <w:rsid w:val="00123D11"/>
    <w:rsid w:val="00131F05"/>
    <w:rsid w:val="0013206D"/>
    <w:rsid w:val="00135A0C"/>
    <w:rsid w:val="00137CC2"/>
    <w:rsid w:val="00140BC8"/>
    <w:rsid w:val="00145617"/>
    <w:rsid w:val="0014773F"/>
    <w:rsid w:val="00147F7F"/>
    <w:rsid w:val="00154127"/>
    <w:rsid w:val="00155B3D"/>
    <w:rsid w:val="00157A2B"/>
    <w:rsid w:val="0016016F"/>
    <w:rsid w:val="001633D0"/>
    <w:rsid w:val="00167FB4"/>
    <w:rsid w:val="00172E78"/>
    <w:rsid w:val="00172F5A"/>
    <w:rsid w:val="00172F82"/>
    <w:rsid w:val="001744B6"/>
    <w:rsid w:val="00174E89"/>
    <w:rsid w:val="00175DB9"/>
    <w:rsid w:val="0018131A"/>
    <w:rsid w:val="0018450F"/>
    <w:rsid w:val="00185EA4"/>
    <w:rsid w:val="00186384"/>
    <w:rsid w:val="00186B8D"/>
    <w:rsid w:val="00186D12"/>
    <w:rsid w:val="001915BC"/>
    <w:rsid w:val="00191EA4"/>
    <w:rsid w:val="001A359A"/>
    <w:rsid w:val="001A3FBB"/>
    <w:rsid w:val="001A56AA"/>
    <w:rsid w:val="001A587D"/>
    <w:rsid w:val="001A5AC1"/>
    <w:rsid w:val="001A5E65"/>
    <w:rsid w:val="001A7236"/>
    <w:rsid w:val="001B2D0F"/>
    <w:rsid w:val="001B4BDD"/>
    <w:rsid w:val="001B64A4"/>
    <w:rsid w:val="001B79CB"/>
    <w:rsid w:val="001C05B2"/>
    <w:rsid w:val="001C1477"/>
    <w:rsid w:val="001C1D86"/>
    <w:rsid w:val="001C4B93"/>
    <w:rsid w:val="001C5E07"/>
    <w:rsid w:val="001C5F7F"/>
    <w:rsid w:val="001D0869"/>
    <w:rsid w:val="001D2E04"/>
    <w:rsid w:val="001D47AA"/>
    <w:rsid w:val="001D5703"/>
    <w:rsid w:val="001D6962"/>
    <w:rsid w:val="001D74A2"/>
    <w:rsid w:val="001D7965"/>
    <w:rsid w:val="001E14E5"/>
    <w:rsid w:val="001E3D09"/>
    <w:rsid w:val="001F373B"/>
    <w:rsid w:val="001F5FF7"/>
    <w:rsid w:val="001F6EF4"/>
    <w:rsid w:val="001F6FF8"/>
    <w:rsid w:val="001F7818"/>
    <w:rsid w:val="00202A1A"/>
    <w:rsid w:val="0020350F"/>
    <w:rsid w:val="00204AF5"/>
    <w:rsid w:val="00204E56"/>
    <w:rsid w:val="002115E0"/>
    <w:rsid w:val="002119A3"/>
    <w:rsid w:val="00213B05"/>
    <w:rsid w:val="002164E0"/>
    <w:rsid w:val="002174EB"/>
    <w:rsid w:val="00221AF0"/>
    <w:rsid w:val="002225C2"/>
    <w:rsid w:val="00223208"/>
    <w:rsid w:val="002242B3"/>
    <w:rsid w:val="00225DF5"/>
    <w:rsid w:val="00227063"/>
    <w:rsid w:val="002307F9"/>
    <w:rsid w:val="002312CA"/>
    <w:rsid w:val="002327B9"/>
    <w:rsid w:val="0023631D"/>
    <w:rsid w:val="002411B3"/>
    <w:rsid w:val="002418AD"/>
    <w:rsid w:val="00242391"/>
    <w:rsid w:val="002457F2"/>
    <w:rsid w:val="0024604B"/>
    <w:rsid w:val="002502FC"/>
    <w:rsid w:val="00250A75"/>
    <w:rsid w:val="00251E39"/>
    <w:rsid w:val="00254703"/>
    <w:rsid w:val="00255E34"/>
    <w:rsid w:val="00264C20"/>
    <w:rsid w:val="00265910"/>
    <w:rsid w:val="00270B84"/>
    <w:rsid w:val="00272203"/>
    <w:rsid w:val="002723E2"/>
    <w:rsid w:val="00272A4E"/>
    <w:rsid w:val="00272F28"/>
    <w:rsid w:val="00275F77"/>
    <w:rsid w:val="00276498"/>
    <w:rsid w:val="00277ACF"/>
    <w:rsid w:val="002808AC"/>
    <w:rsid w:val="00281C8F"/>
    <w:rsid w:val="00283A09"/>
    <w:rsid w:val="00284073"/>
    <w:rsid w:val="00284E6D"/>
    <w:rsid w:val="002854A9"/>
    <w:rsid w:val="00285DB2"/>
    <w:rsid w:val="00286C0B"/>
    <w:rsid w:val="0029135C"/>
    <w:rsid w:val="00291C7C"/>
    <w:rsid w:val="00293A16"/>
    <w:rsid w:val="002947CB"/>
    <w:rsid w:val="00297413"/>
    <w:rsid w:val="002A05F8"/>
    <w:rsid w:val="002A08D6"/>
    <w:rsid w:val="002A1B06"/>
    <w:rsid w:val="002A24B3"/>
    <w:rsid w:val="002A5EE8"/>
    <w:rsid w:val="002B04FB"/>
    <w:rsid w:val="002B2033"/>
    <w:rsid w:val="002B2679"/>
    <w:rsid w:val="002B334A"/>
    <w:rsid w:val="002B7718"/>
    <w:rsid w:val="002B7F3E"/>
    <w:rsid w:val="002C043F"/>
    <w:rsid w:val="002C408F"/>
    <w:rsid w:val="002C531D"/>
    <w:rsid w:val="002D1670"/>
    <w:rsid w:val="002D1796"/>
    <w:rsid w:val="002D35B7"/>
    <w:rsid w:val="002D377D"/>
    <w:rsid w:val="002D3894"/>
    <w:rsid w:val="002D4906"/>
    <w:rsid w:val="002D61AD"/>
    <w:rsid w:val="002D736C"/>
    <w:rsid w:val="002D736D"/>
    <w:rsid w:val="002D7412"/>
    <w:rsid w:val="002D79F8"/>
    <w:rsid w:val="002D7A2D"/>
    <w:rsid w:val="002D7AAE"/>
    <w:rsid w:val="002E2167"/>
    <w:rsid w:val="002F4880"/>
    <w:rsid w:val="002F5362"/>
    <w:rsid w:val="0030330D"/>
    <w:rsid w:val="003034BE"/>
    <w:rsid w:val="003053BC"/>
    <w:rsid w:val="00306586"/>
    <w:rsid w:val="003078AC"/>
    <w:rsid w:val="0030799A"/>
    <w:rsid w:val="003112D9"/>
    <w:rsid w:val="00311DFC"/>
    <w:rsid w:val="0031274D"/>
    <w:rsid w:val="00313722"/>
    <w:rsid w:val="003140CE"/>
    <w:rsid w:val="00316650"/>
    <w:rsid w:val="00316B14"/>
    <w:rsid w:val="00320161"/>
    <w:rsid w:val="00320395"/>
    <w:rsid w:val="00321979"/>
    <w:rsid w:val="00322270"/>
    <w:rsid w:val="003265BD"/>
    <w:rsid w:val="0033557E"/>
    <w:rsid w:val="00336F50"/>
    <w:rsid w:val="00336F61"/>
    <w:rsid w:val="003370D9"/>
    <w:rsid w:val="003420A8"/>
    <w:rsid w:val="00346388"/>
    <w:rsid w:val="00347227"/>
    <w:rsid w:val="00350A97"/>
    <w:rsid w:val="00351E7A"/>
    <w:rsid w:val="00354146"/>
    <w:rsid w:val="00357F73"/>
    <w:rsid w:val="00364018"/>
    <w:rsid w:val="00364080"/>
    <w:rsid w:val="00365B24"/>
    <w:rsid w:val="00365E7E"/>
    <w:rsid w:val="00366700"/>
    <w:rsid w:val="00371A4C"/>
    <w:rsid w:val="00373652"/>
    <w:rsid w:val="003741D3"/>
    <w:rsid w:val="003743FF"/>
    <w:rsid w:val="0037632E"/>
    <w:rsid w:val="00380A80"/>
    <w:rsid w:val="00381472"/>
    <w:rsid w:val="00385D18"/>
    <w:rsid w:val="00387CB9"/>
    <w:rsid w:val="00390AB7"/>
    <w:rsid w:val="00391EF9"/>
    <w:rsid w:val="00392DA9"/>
    <w:rsid w:val="00394CEF"/>
    <w:rsid w:val="00394F1E"/>
    <w:rsid w:val="00397C85"/>
    <w:rsid w:val="003A534C"/>
    <w:rsid w:val="003A5B62"/>
    <w:rsid w:val="003A6C33"/>
    <w:rsid w:val="003B450F"/>
    <w:rsid w:val="003B49F1"/>
    <w:rsid w:val="003B4CBC"/>
    <w:rsid w:val="003B63D2"/>
    <w:rsid w:val="003C01A5"/>
    <w:rsid w:val="003C064C"/>
    <w:rsid w:val="003C0B1D"/>
    <w:rsid w:val="003C14D5"/>
    <w:rsid w:val="003C1FBA"/>
    <w:rsid w:val="003C2707"/>
    <w:rsid w:val="003C55C8"/>
    <w:rsid w:val="003C58D9"/>
    <w:rsid w:val="003C5E62"/>
    <w:rsid w:val="003C62F7"/>
    <w:rsid w:val="003C6DB4"/>
    <w:rsid w:val="003C7B91"/>
    <w:rsid w:val="003C7C0A"/>
    <w:rsid w:val="003D1CA7"/>
    <w:rsid w:val="003D221D"/>
    <w:rsid w:val="003D2E13"/>
    <w:rsid w:val="003D2FE4"/>
    <w:rsid w:val="003D7812"/>
    <w:rsid w:val="003E00B8"/>
    <w:rsid w:val="003E0700"/>
    <w:rsid w:val="003E0C58"/>
    <w:rsid w:val="003E1B33"/>
    <w:rsid w:val="003E40A1"/>
    <w:rsid w:val="003E431D"/>
    <w:rsid w:val="003E49B7"/>
    <w:rsid w:val="003F357B"/>
    <w:rsid w:val="003F3B4B"/>
    <w:rsid w:val="003F546A"/>
    <w:rsid w:val="003F56E9"/>
    <w:rsid w:val="003F64C2"/>
    <w:rsid w:val="00400593"/>
    <w:rsid w:val="004008A7"/>
    <w:rsid w:val="0040236A"/>
    <w:rsid w:val="00403759"/>
    <w:rsid w:val="00405A81"/>
    <w:rsid w:val="004100AA"/>
    <w:rsid w:val="00413455"/>
    <w:rsid w:val="0041415E"/>
    <w:rsid w:val="00416040"/>
    <w:rsid w:val="00421820"/>
    <w:rsid w:val="00422586"/>
    <w:rsid w:val="004228B6"/>
    <w:rsid w:val="00422CDB"/>
    <w:rsid w:val="00425406"/>
    <w:rsid w:val="00425D13"/>
    <w:rsid w:val="00426167"/>
    <w:rsid w:val="004265CA"/>
    <w:rsid w:val="00427D92"/>
    <w:rsid w:val="00430A34"/>
    <w:rsid w:val="0043105F"/>
    <w:rsid w:val="00431B97"/>
    <w:rsid w:val="004339FB"/>
    <w:rsid w:val="00435E2C"/>
    <w:rsid w:val="004360DC"/>
    <w:rsid w:val="0043651A"/>
    <w:rsid w:val="0044689C"/>
    <w:rsid w:val="00447417"/>
    <w:rsid w:val="004529CD"/>
    <w:rsid w:val="00453B9D"/>
    <w:rsid w:val="00453FC9"/>
    <w:rsid w:val="00455D94"/>
    <w:rsid w:val="00457643"/>
    <w:rsid w:val="00460902"/>
    <w:rsid w:val="00465488"/>
    <w:rsid w:val="0047247F"/>
    <w:rsid w:val="004727DD"/>
    <w:rsid w:val="00472A5B"/>
    <w:rsid w:val="00474F07"/>
    <w:rsid w:val="004800BD"/>
    <w:rsid w:val="00481E07"/>
    <w:rsid w:val="004867EB"/>
    <w:rsid w:val="004879C8"/>
    <w:rsid w:val="00490D99"/>
    <w:rsid w:val="00492F22"/>
    <w:rsid w:val="00493015"/>
    <w:rsid w:val="004937CC"/>
    <w:rsid w:val="00494D82"/>
    <w:rsid w:val="0049762E"/>
    <w:rsid w:val="004A0222"/>
    <w:rsid w:val="004A383A"/>
    <w:rsid w:val="004B259D"/>
    <w:rsid w:val="004B35B7"/>
    <w:rsid w:val="004B3D56"/>
    <w:rsid w:val="004B4EC4"/>
    <w:rsid w:val="004B50A3"/>
    <w:rsid w:val="004C3D73"/>
    <w:rsid w:val="004C5B03"/>
    <w:rsid w:val="004C672E"/>
    <w:rsid w:val="004E027B"/>
    <w:rsid w:val="004E3FCC"/>
    <w:rsid w:val="004E7444"/>
    <w:rsid w:val="004E7D2E"/>
    <w:rsid w:val="004F0465"/>
    <w:rsid w:val="004F0FC7"/>
    <w:rsid w:val="004F1611"/>
    <w:rsid w:val="004F2B18"/>
    <w:rsid w:val="004F3894"/>
    <w:rsid w:val="004F4B4D"/>
    <w:rsid w:val="004F59F0"/>
    <w:rsid w:val="004F73E8"/>
    <w:rsid w:val="0050004D"/>
    <w:rsid w:val="005003FD"/>
    <w:rsid w:val="00501635"/>
    <w:rsid w:val="005078D4"/>
    <w:rsid w:val="00511F28"/>
    <w:rsid w:val="005144A5"/>
    <w:rsid w:val="00521E3B"/>
    <w:rsid w:val="005243DC"/>
    <w:rsid w:val="00526B8B"/>
    <w:rsid w:val="005277EA"/>
    <w:rsid w:val="00531FAC"/>
    <w:rsid w:val="0053265B"/>
    <w:rsid w:val="00532F88"/>
    <w:rsid w:val="00533A94"/>
    <w:rsid w:val="00533D58"/>
    <w:rsid w:val="00533E10"/>
    <w:rsid w:val="00535268"/>
    <w:rsid w:val="00537685"/>
    <w:rsid w:val="00540F27"/>
    <w:rsid w:val="00542BE2"/>
    <w:rsid w:val="00543FFC"/>
    <w:rsid w:val="005442A6"/>
    <w:rsid w:val="00545625"/>
    <w:rsid w:val="00551731"/>
    <w:rsid w:val="0055672B"/>
    <w:rsid w:val="00562EFC"/>
    <w:rsid w:val="00564A52"/>
    <w:rsid w:val="00564FF7"/>
    <w:rsid w:val="00566032"/>
    <w:rsid w:val="00571CB2"/>
    <w:rsid w:val="00572EF4"/>
    <w:rsid w:val="00575D4F"/>
    <w:rsid w:val="00576DB8"/>
    <w:rsid w:val="00577D4D"/>
    <w:rsid w:val="005828D5"/>
    <w:rsid w:val="00583060"/>
    <w:rsid w:val="00583925"/>
    <w:rsid w:val="0058682C"/>
    <w:rsid w:val="005874A9"/>
    <w:rsid w:val="00592987"/>
    <w:rsid w:val="005949B8"/>
    <w:rsid w:val="005955D0"/>
    <w:rsid w:val="005A2D77"/>
    <w:rsid w:val="005A2F4B"/>
    <w:rsid w:val="005A33C2"/>
    <w:rsid w:val="005A400A"/>
    <w:rsid w:val="005A4161"/>
    <w:rsid w:val="005A52DD"/>
    <w:rsid w:val="005A6388"/>
    <w:rsid w:val="005A67F1"/>
    <w:rsid w:val="005A73C3"/>
    <w:rsid w:val="005B0714"/>
    <w:rsid w:val="005B1129"/>
    <w:rsid w:val="005B2F0F"/>
    <w:rsid w:val="005B3316"/>
    <w:rsid w:val="005B450C"/>
    <w:rsid w:val="005B5839"/>
    <w:rsid w:val="005B6C52"/>
    <w:rsid w:val="005C01FC"/>
    <w:rsid w:val="005C04C5"/>
    <w:rsid w:val="005C1FC2"/>
    <w:rsid w:val="005C275A"/>
    <w:rsid w:val="005C2D8F"/>
    <w:rsid w:val="005C382A"/>
    <w:rsid w:val="005C6B64"/>
    <w:rsid w:val="005D007C"/>
    <w:rsid w:val="005D2B62"/>
    <w:rsid w:val="005D5A7E"/>
    <w:rsid w:val="005D7604"/>
    <w:rsid w:val="005F071C"/>
    <w:rsid w:val="005F1549"/>
    <w:rsid w:val="005F2BA7"/>
    <w:rsid w:val="005F3037"/>
    <w:rsid w:val="00604A7B"/>
    <w:rsid w:val="006063C3"/>
    <w:rsid w:val="00610B9C"/>
    <w:rsid w:val="00610BB1"/>
    <w:rsid w:val="00610E17"/>
    <w:rsid w:val="00611D6F"/>
    <w:rsid w:val="006120D0"/>
    <w:rsid w:val="00613058"/>
    <w:rsid w:val="00613060"/>
    <w:rsid w:val="00613F2E"/>
    <w:rsid w:val="0061447F"/>
    <w:rsid w:val="0061450B"/>
    <w:rsid w:val="00614703"/>
    <w:rsid w:val="006149DA"/>
    <w:rsid w:val="00615BF7"/>
    <w:rsid w:val="00616DD5"/>
    <w:rsid w:val="00617175"/>
    <w:rsid w:val="006225F4"/>
    <w:rsid w:val="00625616"/>
    <w:rsid w:val="00625A9C"/>
    <w:rsid w:val="0062610B"/>
    <w:rsid w:val="00631031"/>
    <w:rsid w:val="00634523"/>
    <w:rsid w:val="00637558"/>
    <w:rsid w:val="00642139"/>
    <w:rsid w:val="006427CB"/>
    <w:rsid w:val="00642A8E"/>
    <w:rsid w:val="0064390A"/>
    <w:rsid w:val="00646830"/>
    <w:rsid w:val="00650029"/>
    <w:rsid w:val="00651C7B"/>
    <w:rsid w:val="006522C1"/>
    <w:rsid w:val="006533D2"/>
    <w:rsid w:val="00656EEA"/>
    <w:rsid w:val="00656FBC"/>
    <w:rsid w:val="0066015F"/>
    <w:rsid w:val="006647D4"/>
    <w:rsid w:val="00666E52"/>
    <w:rsid w:val="006676F9"/>
    <w:rsid w:val="0067185A"/>
    <w:rsid w:val="00671C06"/>
    <w:rsid w:val="0067258D"/>
    <w:rsid w:val="00674543"/>
    <w:rsid w:val="006747BA"/>
    <w:rsid w:val="0067615A"/>
    <w:rsid w:val="00677E3A"/>
    <w:rsid w:val="006849B4"/>
    <w:rsid w:val="006874A1"/>
    <w:rsid w:val="00687521"/>
    <w:rsid w:val="006901AA"/>
    <w:rsid w:val="00690D36"/>
    <w:rsid w:val="006915A7"/>
    <w:rsid w:val="00693816"/>
    <w:rsid w:val="00694FE4"/>
    <w:rsid w:val="006A23FE"/>
    <w:rsid w:val="006A2778"/>
    <w:rsid w:val="006A5130"/>
    <w:rsid w:val="006A6A80"/>
    <w:rsid w:val="006A6F04"/>
    <w:rsid w:val="006B317E"/>
    <w:rsid w:val="006B4BE4"/>
    <w:rsid w:val="006B668B"/>
    <w:rsid w:val="006B7C3C"/>
    <w:rsid w:val="006C4F51"/>
    <w:rsid w:val="006C6CA5"/>
    <w:rsid w:val="006C6D24"/>
    <w:rsid w:val="006C765F"/>
    <w:rsid w:val="006C7939"/>
    <w:rsid w:val="006C7BB3"/>
    <w:rsid w:val="006D217B"/>
    <w:rsid w:val="006E2C81"/>
    <w:rsid w:val="006F25D3"/>
    <w:rsid w:val="006F5757"/>
    <w:rsid w:val="006F71F3"/>
    <w:rsid w:val="00701144"/>
    <w:rsid w:val="00702090"/>
    <w:rsid w:val="0070532C"/>
    <w:rsid w:val="00706AAB"/>
    <w:rsid w:val="00712956"/>
    <w:rsid w:val="00713665"/>
    <w:rsid w:val="00721777"/>
    <w:rsid w:val="00721AA5"/>
    <w:rsid w:val="00721F9D"/>
    <w:rsid w:val="007260C7"/>
    <w:rsid w:val="00733B9A"/>
    <w:rsid w:val="0073442E"/>
    <w:rsid w:val="00735145"/>
    <w:rsid w:val="007376DC"/>
    <w:rsid w:val="00737805"/>
    <w:rsid w:val="00737A9F"/>
    <w:rsid w:val="0074094D"/>
    <w:rsid w:val="00741FF1"/>
    <w:rsid w:val="00742E89"/>
    <w:rsid w:val="0074417B"/>
    <w:rsid w:val="00750179"/>
    <w:rsid w:val="0075258C"/>
    <w:rsid w:val="00754C3A"/>
    <w:rsid w:val="00755AF7"/>
    <w:rsid w:val="007569E5"/>
    <w:rsid w:val="0075791F"/>
    <w:rsid w:val="007579AB"/>
    <w:rsid w:val="00761488"/>
    <w:rsid w:val="007614F9"/>
    <w:rsid w:val="0076606C"/>
    <w:rsid w:val="00772122"/>
    <w:rsid w:val="0077768C"/>
    <w:rsid w:val="00780B0A"/>
    <w:rsid w:val="00780E38"/>
    <w:rsid w:val="00781ED7"/>
    <w:rsid w:val="0078247F"/>
    <w:rsid w:val="00782A9C"/>
    <w:rsid w:val="007830A2"/>
    <w:rsid w:val="007830C1"/>
    <w:rsid w:val="007850EE"/>
    <w:rsid w:val="00785FF1"/>
    <w:rsid w:val="0078695E"/>
    <w:rsid w:val="00786FF8"/>
    <w:rsid w:val="00791F73"/>
    <w:rsid w:val="00794E95"/>
    <w:rsid w:val="00796014"/>
    <w:rsid w:val="00797406"/>
    <w:rsid w:val="0079744D"/>
    <w:rsid w:val="00797F4E"/>
    <w:rsid w:val="007A0115"/>
    <w:rsid w:val="007A34D2"/>
    <w:rsid w:val="007A4299"/>
    <w:rsid w:val="007A59AB"/>
    <w:rsid w:val="007A5C19"/>
    <w:rsid w:val="007A7723"/>
    <w:rsid w:val="007B447D"/>
    <w:rsid w:val="007B589A"/>
    <w:rsid w:val="007B6F96"/>
    <w:rsid w:val="007C4A1B"/>
    <w:rsid w:val="007C5E2F"/>
    <w:rsid w:val="007C6628"/>
    <w:rsid w:val="007C68A5"/>
    <w:rsid w:val="007C6ED6"/>
    <w:rsid w:val="007D039C"/>
    <w:rsid w:val="007D1AAA"/>
    <w:rsid w:val="007D1E3A"/>
    <w:rsid w:val="007D23F3"/>
    <w:rsid w:val="007D3DBC"/>
    <w:rsid w:val="007D59DE"/>
    <w:rsid w:val="007D6598"/>
    <w:rsid w:val="007D6DA4"/>
    <w:rsid w:val="007E0255"/>
    <w:rsid w:val="007E0BD6"/>
    <w:rsid w:val="007E152F"/>
    <w:rsid w:val="007E17B5"/>
    <w:rsid w:val="007E36B2"/>
    <w:rsid w:val="007E5368"/>
    <w:rsid w:val="007E681B"/>
    <w:rsid w:val="007E7F1A"/>
    <w:rsid w:val="007F1C75"/>
    <w:rsid w:val="007F1E89"/>
    <w:rsid w:val="007F5674"/>
    <w:rsid w:val="008000EB"/>
    <w:rsid w:val="00800945"/>
    <w:rsid w:val="00800F13"/>
    <w:rsid w:val="008017E7"/>
    <w:rsid w:val="008026B3"/>
    <w:rsid w:val="00804100"/>
    <w:rsid w:val="00806D6F"/>
    <w:rsid w:val="00811F09"/>
    <w:rsid w:val="00812137"/>
    <w:rsid w:val="00812515"/>
    <w:rsid w:val="008149E2"/>
    <w:rsid w:val="00816FF7"/>
    <w:rsid w:val="008203AC"/>
    <w:rsid w:val="00821171"/>
    <w:rsid w:val="00823C38"/>
    <w:rsid w:val="00824DA3"/>
    <w:rsid w:val="00834045"/>
    <w:rsid w:val="00834864"/>
    <w:rsid w:val="00837591"/>
    <w:rsid w:val="00840B66"/>
    <w:rsid w:val="008431F3"/>
    <w:rsid w:val="008440D7"/>
    <w:rsid w:val="008472C0"/>
    <w:rsid w:val="0084770C"/>
    <w:rsid w:val="00850F81"/>
    <w:rsid w:val="00857EB0"/>
    <w:rsid w:val="00860603"/>
    <w:rsid w:val="00860DDD"/>
    <w:rsid w:val="00861867"/>
    <w:rsid w:val="00862A93"/>
    <w:rsid w:val="00865EC3"/>
    <w:rsid w:val="00866384"/>
    <w:rsid w:val="00866BE5"/>
    <w:rsid w:val="0087257D"/>
    <w:rsid w:val="0087276C"/>
    <w:rsid w:val="00872912"/>
    <w:rsid w:val="00874661"/>
    <w:rsid w:val="00877316"/>
    <w:rsid w:val="00877E4B"/>
    <w:rsid w:val="00885BE9"/>
    <w:rsid w:val="00886B3C"/>
    <w:rsid w:val="0089223B"/>
    <w:rsid w:val="008931CB"/>
    <w:rsid w:val="00894B73"/>
    <w:rsid w:val="00897DE3"/>
    <w:rsid w:val="008A088E"/>
    <w:rsid w:val="008A1FE7"/>
    <w:rsid w:val="008A7164"/>
    <w:rsid w:val="008A716F"/>
    <w:rsid w:val="008B3120"/>
    <w:rsid w:val="008B5024"/>
    <w:rsid w:val="008B59A9"/>
    <w:rsid w:val="008B59CB"/>
    <w:rsid w:val="008B60CD"/>
    <w:rsid w:val="008B749F"/>
    <w:rsid w:val="008C1860"/>
    <w:rsid w:val="008C1D85"/>
    <w:rsid w:val="008C1FC8"/>
    <w:rsid w:val="008C5DD0"/>
    <w:rsid w:val="008C7542"/>
    <w:rsid w:val="008D16A2"/>
    <w:rsid w:val="008D1C7C"/>
    <w:rsid w:val="008D24C1"/>
    <w:rsid w:val="008D4228"/>
    <w:rsid w:val="008D5E67"/>
    <w:rsid w:val="008E10D0"/>
    <w:rsid w:val="008E2021"/>
    <w:rsid w:val="008E211B"/>
    <w:rsid w:val="008E482B"/>
    <w:rsid w:val="008E680A"/>
    <w:rsid w:val="008E6BBD"/>
    <w:rsid w:val="008E6F78"/>
    <w:rsid w:val="008F030A"/>
    <w:rsid w:val="008F072F"/>
    <w:rsid w:val="008F44C5"/>
    <w:rsid w:val="0090082E"/>
    <w:rsid w:val="00901527"/>
    <w:rsid w:val="00903DEE"/>
    <w:rsid w:val="00904358"/>
    <w:rsid w:val="009072A1"/>
    <w:rsid w:val="00907714"/>
    <w:rsid w:val="00907907"/>
    <w:rsid w:val="0091105A"/>
    <w:rsid w:val="00916CCE"/>
    <w:rsid w:val="009179E5"/>
    <w:rsid w:val="00917D9E"/>
    <w:rsid w:val="00920358"/>
    <w:rsid w:val="00920D05"/>
    <w:rsid w:val="00922D36"/>
    <w:rsid w:val="009237FC"/>
    <w:rsid w:val="00926A80"/>
    <w:rsid w:val="00927934"/>
    <w:rsid w:val="00931817"/>
    <w:rsid w:val="00932456"/>
    <w:rsid w:val="00932AF0"/>
    <w:rsid w:val="009361D6"/>
    <w:rsid w:val="00940C75"/>
    <w:rsid w:val="00940D80"/>
    <w:rsid w:val="00940F11"/>
    <w:rsid w:val="0094335F"/>
    <w:rsid w:val="00943B0B"/>
    <w:rsid w:val="00943E6C"/>
    <w:rsid w:val="00944E91"/>
    <w:rsid w:val="0094605A"/>
    <w:rsid w:val="009468F2"/>
    <w:rsid w:val="0094785C"/>
    <w:rsid w:val="00947CC3"/>
    <w:rsid w:val="009528C6"/>
    <w:rsid w:val="00953922"/>
    <w:rsid w:val="009540BC"/>
    <w:rsid w:val="00955313"/>
    <w:rsid w:val="00957C82"/>
    <w:rsid w:val="009618D0"/>
    <w:rsid w:val="0096206C"/>
    <w:rsid w:val="009646AA"/>
    <w:rsid w:val="009647A0"/>
    <w:rsid w:val="00965444"/>
    <w:rsid w:val="00966037"/>
    <w:rsid w:val="009670F5"/>
    <w:rsid w:val="00967317"/>
    <w:rsid w:val="00970245"/>
    <w:rsid w:val="009729F0"/>
    <w:rsid w:val="00972F41"/>
    <w:rsid w:val="009731CC"/>
    <w:rsid w:val="0097513F"/>
    <w:rsid w:val="009775F8"/>
    <w:rsid w:val="009801CC"/>
    <w:rsid w:val="009811BD"/>
    <w:rsid w:val="0098380A"/>
    <w:rsid w:val="00983F1A"/>
    <w:rsid w:val="00987A8D"/>
    <w:rsid w:val="00990D88"/>
    <w:rsid w:val="00993A2A"/>
    <w:rsid w:val="0099618B"/>
    <w:rsid w:val="009A06C7"/>
    <w:rsid w:val="009A1BB0"/>
    <w:rsid w:val="009A2983"/>
    <w:rsid w:val="009A2C77"/>
    <w:rsid w:val="009B0343"/>
    <w:rsid w:val="009B1FBA"/>
    <w:rsid w:val="009B30C6"/>
    <w:rsid w:val="009C12B7"/>
    <w:rsid w:val="009C4314"/>
    <w:rsid w:val="009C4632"/>
    <w:rsid w:val="009C55D8"/>
    <w:rsid w:val="009C6D56"/>
    <w:rsid w:val="009C7097"/>
    <w:rsid w:val="009D4780"/>
    <w:rsid w:val="009D52D9"/>
    <w:rsid w:val="009E1643"/>
    <w:rsid w:val="009E55B1"/>
    <w:rsid w:val="009E5A14"/>
    <w:rsid w:val="009E7943"/>
    <w:rsid w:val="009F50A3"/>
    <w:rsid w:val="009F6388"/>
    <w:rsid w:val="00A00F68"/>
    <w:rsid w:val="00A01728"/>
    <w:rsid w:val="00A02028"/>
    <w:rsid w:val="00A03EF4"/>
    <w:rsid w:val="00A04A1A"/>
    <w:rsid w:val="00A04F8D"/>
    <w:rsid w:val="00A06FBD"/>
    <w:rsid w:val="00A075FA"/>
    <w:rsid w:val="00A1227A"/>
    <w:rsid w:val="00A124B3"/>
    <w:rsid w:val="00A12D43"/>
    <w:rsid w:val="00A14C8F"/>
    <w:rsid w:val="00A1608E"/>
    <w:rsid w:val="00A17883"/>
    <w:rsid w:val="00A20C5E"/>
    <w:rsid w:val="00A20D6F"/>
    <w:rsid w:val="00A24B38"/>
    <w:rsid w:val="00A25649"/>
    <w:rsid w:val="00A27EB0"/>
    <w:rsid w:val="00A3090B"/>
    <w:rsid w:val="00A3214E"/>
    <w:rsid w:val="00A32215"/>
    <w:rsid w:val="00A3281E"/>
    <w:rsid w:val="00A3282D"/>
    <w:rsid w:val="00A349F3"/>
    <w:rsid w:val="00A35D68"/>
    <w:rsid w:val="00A408AF"/>
    <w:rsid w:val="00A40A5D"/>
    <w:rsid w:val="00A40EED"/>
    <w:rsid w:val="00A412B5"/>
    <w:rsid w:val="00A45C34"/>
    <w:rsid w:val="00A45F70"/>
    <w:rsid w:val="00A460EF"/>
    <w:rsid w:val="00A5092E"/>
    <w:rsid w:val="00A50D3E"/>
    <w:rsid w:val="00A51494"/>
    <w:rsid w:val="00A5364C"/>
    <w:rsid w:val="00A61789"/>
    <w:rsid w:val="00A62BF5"/>
    <w:rsid w:val="00A637DB"/>
    <w:rsid w:val="00A640C6"/>
    <w:rsid w:val="00A65CFA"/>
    <w:rsid w:val="00A66652"/>
    <w:rsid w:val="00A6729E"/>
    <w:rsid w:val="00A70FEB"/>
    <w:rsid w:val="00A725FD"/>
    <w:rsid w:val="00A7498E"/>
    <w:rsid w:val="00A74DF4"/>
    <w:rsid w:val="00A77D09"/>
    <w:rsid w:val="00A80204"/>
    <w:rsid w:val="00A805B8"/>
    <w:rsid w:val="00A83A13"/>
    <w:rsid w:val="00A84AE8"/>
    <w:rsid w:val="00A86177"/>
    <w:rsid w:val="00A86434"/>
    <w:rsid w:val="00A97E69"/>
    <w:rsid w:val="00AA2168"/>
    <w:rsid w:val="00AA64D8"/>
    <w:rsid w:val="00AA76F6"/>
    <w:rsid w:val="00AB087C"/>
    <w:rsid w:val="00AB3D9F"/>
    <w:rsid w:val="00AB4710"/>
    <w:rsid w:val="00AB6CC3"/>
    <w:rsid w:val="00AC2B50"/>
    <w:rsid w:val="00AC3020"/>
    <w:rsid w:val="00AC3ADE"/>
    <w:rsid w:val="00AC415E"/>
    <w:rsid w:val="00AC48C4"/>
    <w:rsid w:val="00AC55D8"/>
    <w:rsid w:val="00AC5607"/>
    <w:rsid w:val="00AC5919"/>
    <w:rsid w:val="00AC5D7F"/>
    <w:rsid w:val="00AC6AFB"/>
    <w:rsid w:val="00AC6F27"/>
    <w:rsid w:val="00AD4B91"/>
    <w:rsid w:val="00AD6E80"/>
    <w:rsid w:val="00AE0065"/>
    <w:rsid w:val="00AE4938"/>
    <w:rsid w:val="00AE6073"/>
    <w:rsid w:val="00AF1C8C"/>
    <w:rsid w:val="00AF28EE"/>
    <w:rsid w:val="00AF3BA4"/>
    <w:rsid w:val="00AF47F1"/>
    <w:rsid w:val="00B026EC"/>
    <w:rsid w:val="00B06489"/>
    <w:rsid w:val="00B0718F"/>
    <w:rsid w:val="00B07CB7"/>
    <w:rsid w:val="00B103A0"/>
    <w:rsid w:val="00B10C21"/>
    <w:rsid w:val="00B14352"/>
    <w:rsid w:val="00B1750B"/>
    <w:rsid w:val="00B205DE"/>
    <w:rsid w:val="00B208F9"/>
    <w:rsid w:val="00B21D53"/>
    <w:rsid w:val="00B2432E"/>
    <w:rsid w:val="00B248E5"/>
    <w:rsid w:val="00B25168"/>
    <w:rsid w:val="00B251A1"/>
    <w:rsid w:val="00B2609D"/>
    <w:rsid w:val="00B26CC6"/>
    <w:rsid w:val="00B27215"/>
    <w:rsid w:val="00B27386"/>
    <w:rsid w:val="00B27F22"/>
    <w:rsid w:val="00B3095C"/>
    <w:rsid w:val="00B3213F"/>
    <w:rsid w:val="00B329A7"/>
    <w:rsid w:val="00B32B50"/>
    <w:rsid w:val="00B35C18"/>
    <w:rsid w:val="00B362AE"/>
    <w:rsid w:val="00B402A6"/>
    <w:rsid w:val="00B40903"/>
    <w:rsid w:val="00B40D8B"/>
    <w:rsid w:val="00B42B7F"/>
    <w:rsid w:val="00B461C8"/>
    <w:rsid w:val="00B47009"/>
    <w:rsid w:val="00B47F1F"/>
    <w:rsid w:val="00B5103A"/>
    <w:rsid w:val="00B5306E"/>
    <w:rsid w:val="00B53F7B"/>
    <w:rsid w:val="00B54F76"/>
    <w:rsid w:val="00B61438"/>
    <w:rsid w:val="00B6174B"/>
    <w:rsid w:val="00B61E56"/>
    <w:rsid w:val="00B63435"/>
    <w:rsid w:val="00B643E4"/>
    <w:rsid w:val="00B64509"/>
    <w:rsid w:val="00B666CC"/>
    <w:rsid w:val="00B70AAE"/>
    <w:rsid w:val="00B7326B"/>
    <w:rsid w:val="00B74507"/>
    <w:rsid w:val="00B74E81"/>
    <w:rsid w:val="00B85488"/>
    <w:rsid w:val="00B90F98"/>
    <w:rsid w:val="00B94C2E"/>
    <w:rsid w:val="00B94D83"/>
    <w:rsid w:val="00B9532A"/>
    <w:rsid w:val="00B95DC5"/>
    <w:rsid w:val="00BA0055"/>
    <w:rsid w:val="00BA1CAE"/>
    <w:rsid w:val="00BA30F8"/>
    <w:rsid w:val="00BA4A82"/>
    <w:rsid w:val="00BA5008"/>
    <w:rsid w:val="00BA55D1"/>
    <w:rsid w:val="00BA5A0F"/>
    <w:rsid w:val="00BA6FB4"/>
    <w:rsid w:val="00BB0B03"/>
    <w:rsid w:val="00BB4168"/>
    <w:rsid w:val="00BC15BA"/>
    <w:rsid w:val="00BC1DF3"/>
    <w:rsid w:val="00BC278A"/>
    <w:rsid w:val="00BC5AFD"/>
    <w:rsid w:val="00BC629E"/>
    <w:rsid w:val="00BC6C73"/>
    <w:rsid w:val="00BD124D"/>
    <w:rsid w:val="00BD4E87"/>
    <w:rsid w:val="00BD5134"/>
    <w:rsid w:val="00BD792D"/>
    <w:rsid w:val="00BE1C65"/>
    <w:rsid w:val="00BE267B"/>
    <w:rsid w:val="00BE2803"/>
    <w:rsid w:val="00BE5B49"/>
    <w:rsid w:val="00BF77B8"/>
    <w:rsid w:val="00C0342E"/>
    <w:rsid w:val="00C0449B"/>
    <w:rsid w:val="00C06D9A"/>
    <w:rsid w:val="00C129C9"/>
    <w:rsid w:val="00C129E2"/>
    <w:rsid w:val="00C1468E"/>
    <w:rsid w:val="00C14FDB"/>
    <w:rsid w:val="00C17431"/>
    <w:rsid w:val="00C17D58"/>
    <w:rsid w:val="00C22AE1"/>
    <w:rsid w:val="00C23CDC"/>
    <w:rsid w:val="00C25F75"/>
    <w:rsid w:val="00C3098B"/>
    <w:rsid w:val="00C31A73"/>
    <w:rsid w:val="00C32B9B"/>
    <w:rsid w:val="00C36098"/>
    <w:rsid w:val="00C40158"/>
    <w:rsid w:val="00C407A3"/>
    <w:rsid w:val="00C416EE"/>
    <w:rsid w:val="00C41AFC"/>
    <w:rsid w:val="00C42BAD"/>
    <w:rsid w:val="00C461E6"/>
    <w:rsid w:val="00C47B29"/>
    <w:rsid w:val="00C525A9"/>
    <w:rsid w:val="00C5438D"/>
    <w:rsid w:val="00C547CA"/>
    <w:rsid w:val="00C55A26"/>
    <w:rsid w:val="00C6030B"/>
    <w:rsid w:val="00C64AA1"/>
    <w:rsid w:val="00C650F7"/>
    <w:rsid w:val="00C66883"/>
    <w:rsid w:val="00C66C01"/>
    <w:rsid w:val="00C75CB3"/>
    <w:rsid w:val="00C801C8"/>
    <w:rsid w:val="00C818A3"/>
    <w:rsid w:val="00C81E85"/>
    <w:rsid w:val="00C83D31"/>
    <w:rsid w:val="00C85F51"/>
    <w:rsid w:val="00C86E67"/>
    <w:rsid w:val="00C911EF"/>
    <w:rsid w:val="00C950CD"/>
    <w:rsid w:val="00C95F8A"/>
    <w:rsid w:val="00CA166B"/>
    <w:rsid w:val="00CA414C"/>
    <w:rsid w:val="00CA4722"/>
    <w:rsid w:val="00CA4BDC"/>
    <w:rsid w:val="00CB0C41"/>
    <w:rsid w:val="00CB292A"/>
    <w:rsid w:val="00CB3CAE"/>
    <w:rsid w:val="00CB6487"/>
    <w:rsid w:val="00CC0512"/>
    <w:rsid w:val="00CC1FC2"/>
    <w:rsid w:val="00CC229F"/>
    <w:rsid w:val="00CC4B4F"/>
    <w:rsid w:val="00CC4FC5"/>
    <w:rsid w:val="00CD0094"/>
    <w:rsid w:val="00CD234D"/>
    <w:rsid w:val="00CD24B8"/>
    <w:rsid w:val="00CD38AC"/>
    <w:rsid w:val="00CD57D3"/>
    <w:rsid w:val="00CD60EF"/>
    <w:rsid w:val="00CD716A"/>
    <w:rsid w:val="00CE3147"/>
    <w:rsid w:val="00CE4886"/>
    <w:rsid w:val="00CE5018"/>
    <w:rsid w:val="00CE530D"/>
    <w:rsid w:val="00CE5576"/>
    <w:rsid w:val="00CE742D"/>
    <w:rsid w:val="00CF3F2D"/>
    <w:rsid w:val="00D05133"/>
    <w:rsid w:val="00D05692"/>
    <w:rsid w:val="00D07476"/>
    <w:rsid w:val="00D11ACC"/>
    <w:rsid w:val="00D159A3"/>
    <w:rsid w:val="00D1651B"/>
    <w:rsid w:val="00D204AB"/>
    <w:rsid w:val="00D21282"/>
    <w:rsid w:val="00D21749"/>
    <w:rsid w:val="00D22F97"/>
    <w:rsid w:val="00D239D3"/>
    <w:rsid w:val="00D266BC"/>
    <w:rsid w:val="00D26840"/>
    <w:rsid w:val="00D27528"/>
    <w:rsid w:val="00D31C81"/>
    <w:rsid w:val="00D31DD0"/>
    <w:rsid w:val="00D34033"/>
    <w:rsid w:val="00D35256"/>
    <w:rsid w:val="00D35B4C"/>
    <w:rsid w:val="00D36592"/>
    <w:rsid w:val="00D40DD9"/>
    <w:rsid w:val="00D41DDF"/>
    <w:rsid w:val="00D42B55"/>
    <w:rsid w:val="00D44645"/>
    <w:rsid w:val="00D51F37"/>
    <w:rsid w:val="00D553F0"/>
    <w:rsid w:val="00D577D9"/>
    <w:rsid w:val="00D60E5E"/>
    <w:rsid w:val="00D62032"/>
    <w:rsid w:val="00D632CC"/>
    <w:rsid w:val="00D661C5"/>
    <w:rsid w:val="00D71008"/>
    <w:rsid w:val="00D7525B"/>
    <w:rsid w:val="00D77200"/>
    <w:rsid w:val="00D77ABD"/>
    <w:rsid w:val="00D80471"/>
    <w:rsid w:val="00D82679"/>
    <w:rsid w:val="00D82BAA"/>
    <w:rsid w:val="00D837DA"/>
    <w:rsid w:val="00D91C75"/>
    <w:rsid w:val="00D9210B"/>
    <w:rsid w:val="00D9443B"/>
    <w:rsid w:val="00D963A6"/>
    <w:rsid w:val="00DA576C"/>
    <w:rsid w:val="00DA6667"/>
    <w:rsid w:val="00DA6956"/>
    <w:rsid w:val="00DB0FA7"/>
    <w:rsid w:val="00DB12A9"/>
    <w:rsid w:val="00DB1717"/>
    <w:rsid w:val="00DB23A8"/>
    <w:rsid w:val="00DB3831"/>
    <w:rsid w:val="00DB5531"/>
    <w:rsid w:val="00DB7711"/>
    <w:rsid w:val="00DC04C3"/>
    <w:rsid w:val="00DC1997"/>
    <w:rsid w:val="00DC2D69"/>
    <w:rsid w:val="00DC7518"/>
    <w:rsid w:val="00DD421C"/>
    <w:rsid w:val="00DE0068"/>
    <w:rsid w:val="00DE18D7"/>
    <w:rsid w:val="00DE2C89"/>
    <w:rsid w:val="00DE51F5"/>
    <w:rsid w:val="00DE535F"/>
    <w:rsid w:val="00DE62CA"/>
    <w:rsid w:val="00DF1406"/>
    <w:rsid w:val="00DF16C7"/>
    <w:rsid w:val="00DF2752"/>
    <w:rsid w:val="00DF4920"/>
    <w:rsid w:val="00E0148E"/>
    <w:rsid w:val="00E02337"/>
    <w:rsid w:val="00E0322D"/>
    <w:rsid w:val="00E03D4A"/>
    <w:rsid w:val="00E05545"/>
    <w:rsid w:val="00E1034A"/>
    <w:rsid w:val="00E15960"/>
    <w:rsid w:val="00E16CFD"/>
    <w:rsid w:val="00E170D1"/>
    <w:rsid w:val="00E2216A"/>
    <w:rsid w:val="00E23283"/>
    <w:rsid w:val="00E25562"/>
    <w:rsid w:val="00E25A71"/>
    <w:rsid w:val="00E27DDC"/>
    <w:rsid w:val="00E31ED3"/>
    <w:rsid w:val="00E35160"/>
    <w:rsid w:val="00E41644"/>
    <w:rsid w:val="00E42690"/>
    <w:rsid w:val="00E4563C"/>
    <w:rsid w:val="00E5087B"/>
    <w:rsid w:val="00E52A3E"/>
    <w:rsid w:val="00E52D68"/>
    <w:rsid w:val="00E547D6"/>
    <w:rsid w:val="00E566C5"/>
    <w:rsid w:val="00E574D6"/>
    <w:rsid w:val="00E57B28"/>
    <w:rsid w:val="00E61344"/>
    <w:rsid w:val="00E63F11"/>
    <w:rsid w:val="00E6458D"/>
    <w:rsid w:val="00E70123"/>
    <w:rsid w:val="00E7120A"/>
    <w:rsid w:val="00E7269C"/>
    <w:rsid w:val="00E73050"/>
    <w:rsid w:val="00E73169"/>
    <w:rsid w:val="00E7447A"/>
    <w:rsid w:val="00E83E6A"/>
    <w:rsid w:val="00E87194"/>
    <w:rsid w:val="00E90A83"/>
    <w:rsid w:val="00E90CE1"/>
    <w:rsid w:val="00E91C95"/>
    <w:rsid w:val="00E9308E"/>
    <w:rsid w:val="00E93354"/>
    <w:rsid w:val="00E93CCB"/>
    <w:rsid w:val="00E93F93"/>
    <w:rsid w:val="00EA1975"/>
    <w:rsid w:val="00EA7B59"/>
    <w:rsid w:val="00EB037F"/>
    <w:rsid w:val="00EB056F"/>
    <w:rsid w:val="00EB107C"/>
    <w:rsid w:val="00EB1E0E"/>
    <w:rsid w:val="00EB7EA9"/>
    <w:rsid w:val="00EC4259"/>
    <w:rsid w:val="00EC5A5D"/>
    <w:rsid w:val="00EC7B15"/>
    <w:rsid w:val="00ED1A77"/>
    <w:rsid w:val="00ED38F1"/>
    <w:rsid w:val="00ED4914"/>
    <w:rsid w:val="00ED6868"/>
    <w:rsid w:val="00ED700A"/>
    <w:rsid w:val="00ED71AC"/>
    <w:rsid w:val="00ED7DA6"/>
    <w:rsid w:val="00EE1851"/>
    <w:rsid w:val="00EE1A0A"/>
    <w:rsid w:val="00EE1BD5"/>
    <w:rsid w:val="00EE2390"/>
    <w:rsid w:val="00EE441E"/>
    <w:rsid w:val="00EE4A9D"/>
    <w:rsid w:val="00EE6880"/>
    <w:rsid w:val="00EF21F2"/>
    <w:rsid w:val="00EF2F02"/>
    <w:rsid w:val="00EF5107"/>
    <w:rsid w:val="00EF631D"/>
    <w:rsid w:val="00F01174"/>
    <w:rsid w:val="00F0130E"/>
    <w:rsid w:val="00F03A62"/>
    <w:rsid w:val="00F03B37"/>
    <w:rsid w:val="00F11369"/>
    <w:rsid w:val="00F12643"/>
    <w:rsid w:val="00F12C34"/>
    <w:rsid w:val="00F15B6D"/>
    <w:rsid w:val="00F16B18"/>
    <w:rsid w:val="00F1713E"/>
    <w:rsid w:val="00F25E2B"/>
    <w:rsid w:val="00F313A9"/>
    <w:rsid w:val="00F31B46"/>
    <w:rsid w:val="00F326B0"/>
    <w:rsid w:val="00F3282F"/>
    <w:rsid w:val="00F3393B"/>
    <w:rsid w:val="00F3410F"/>
    <w:rsid w:val="00F37C2C"/>
    <w:rsid w:val="00F37D55"/>
    <w:rsid w:val="00F405C3"/>
    <w:rsid w:val="00F45262"/>
    <w:rsid w:val="00F50194"/>
    <w:rsid w:val="00F51AFF"/>
    <w:rsid w:val="00F52DF2"/>
    <w:rsid w:val="00F543AF"/>
    <w:rsid w:val="00F602B4"/>
    <w:rsid w:val="00F608E1"/>
    <w:rsid w:val="00F627F8"/>
    <w:rsid w:val="00F669CA"/>
    <w:rsid w:val="00F671BA"/>
    <w:rsid w:val="00F7096F"/>
    <w:rsid w:val="00F71CA7"/>
    <w:rsid w:val="00F73B71"/>
    <w:rsid w:val="00F741B3"/>
    <w:rsid w:val="00F84382"/>
    <w:rsid w:val="00F91AA6"/>
    <w:rsid w:val="00F929C6"/>
    <w:rsid w:val="00F94734"/>
    <w:rsid w:val="00F94DFF"/>
    <w:rsid w:val="00F966B2"/>
    <w:rsid w:val="00F9684F"/>
    <w:rsid w:val="00FA2BCA"/>
    <w:rsid w:val="00FA4230"/>
    <w:rsid w:val="00FA5E48"/>
    <w:rsid w:val="00FA5F10"/>
    <w:rsid w:val="00FA6F1E"/>
    <w:rsid w:val="00FA74FE"/>
    <w:rsid w:val="00FA7B49"/>
    <w:rsid w:val="00FB04E1"/>
    <w:rsid w:val="00FB1DAF"/>
    <w:rsid w:val="00FB2001"/>
    <w:rsid w:val="00FB28AD"/>
    <w:rsid w:val="00FB5FFD"/>
    <w:rsid w:val="00FC0560"/>
    <w:rsid w:val="00FC23C1"/>
    <w:rsid w:val="00FC6048"/>
    <w:rsid w:val="00FC7FB0"/>
    <w:rsid w:val="00FD278A"/>
    <w:rsid w:val="00FD69FF"/>
    <w:rsid w:val="00FE0BA3"/>
    <w:rsid w:val="00FE27A0"/>
    <w:rsid w:val="00FE28CC"/>
    <w:rsid w:val="00FE2BAC"/>
    <w:rsid w:val="00FE5942"/>
    <w:rsid w:val="00FE63F0"/>
    <w:rsid w:val="00FE75A7"/>
    <w:rsid w:val="00FF2727"/>
    <w:rsid w:val="00FF46A1"/>
    <w:rsid w:val="00FF56D6"/>
    <w:rsid w:val="01053F5C"/>
    <w:rsid w:val="01344857"/>
    <w:rsid w:val="015013B7"/>
    <w:rsid w:val="018F0B1E"/>
    <w:rsid w:val="01A0487B"/>
    <w:rsid w:val="01AF3C0A"/>
    <w:rsid w:val="01D152A8"/>
    <w:rsid w:val="020A2CA4"/>
    <w:rsid w:val="02642B62"/>
    <w:rsid w:val="02FA25DD"/>
    <w:rsid w:val="037C7496"/>
    <w:rsid w:val="03BA5513"/>
    <w:rsid w:val="041856A2"/>
    <w:rsid w:val="04DD2EE2"/>
    <w:rsid w:val="04FF3EDA"/>
    <w:rsid w:val="05097DD4"/>
    <w:rsid w:val="052102F4"/>
    <w:rsid w:val="0525637C"/>
    <w:rsid w:val="05805B1E"/>
    <w:rsid w:val="05BB42A5"/>
    <w:rsid w:val="05CA5609"/>
    <w:rsid w:val="05D850D4"/>
    <w:rsid w:val="065564A8"/>
    <w:rsid w:val="068648B3"/>
    <w:rsid w:val="06964E3A"/>
    <w:rsid w:val="06F1685A"/>
    <w:rsid w:val="07195727"/>
    <w:rsid w:val="073F6ECA"/>
    <w:rsid w:val="079528D4"/>
    <w:rsid w:val="07DC7A74"/>
    <w:rsid w:val="07E219C9"/>
    <w:rsid w:val="07F54FB1"/>
    <w:rsid w:val="080C7E70"/>
    <w:rsid w:val="08141CA1"/>
    <w:rsid w:val="08737E36"/>
    <w:rsid w:val="08EB30F3"/>
    <w:rsid w:val="090D59A5"/>
    <w:rsid w:val="092959CA"/>
    <w:rsid w:val="092A76E7"/>
    <w:rsid w:val="09A243C1"/>
    <w:rsid w:val="09E11B97"/>
    <w:rsid w:val="09F00C17"/>
    <w:rsid w:val="0A256B3B"/>
    <w:rsid w:val="0A3B7763"/>
    <w:rsid w:val="0B10325B"/>
    <w:rsid w:val="0BCE3725"/>
    <w:rsid w:val="0C5E3BDC"/>
    <w:rsid w:val="0C7B4089"/>
    <w:rsid w:val="0C7B478E"/>
    <w:rsid w:val="0DAF57CE"/>
    <w:rsid w:val="0DD979BE"/>
    <w:rsid w:val="0E2317FB"/>
    <w:rsid w:val="0E7B6CC7"/>
    <w:rsid w:val="0E881264"/>
    <w:rsid w:val="0EB41900"/>
    <w:rsid w:val="0EB863CE"/>
    <w:rsid w:val="0F1955A6"/>
    <w:rsid w:val="0F3C2096"/>
    <w:rsid w:val="0FB0609B"/>
    <w:rsid w:val="10086339"/>
    <w:rsid w:val="103F52DC"/>
    <w:rsid w:val="1076070C"/>
    <w:rsid w:val="1077335B"/>
    <w:rsid w:val="109D56B5"/>
    <w:rsid w:val="116E041E"/>
    <w:rsid w:val="11961323"/>
    <w:rsid w:val="11A77DD3"/>
    <w:rsid w:val="11E9219A"/>
    <w:rsid w:val="11FC011F"/>
    <w:rsid w:val="12036CD8"/>
    <w:rsid w:val="121B6B9B"/>
    <w:rsid w:val="12A4287C"/>
    <w:rsid w:val="12FF291E"/>
    <w:rsid w:val="13620456"/>
    <w:rsid w:val="13692DA9"/>
    <w:rsid w:val="13857CA0"/>
    <w:rsid w:val="13874EC8"/>
    <w:rsid w:val="139E3AE8"/>
    <w:rsid w:val="13BA5D6B"/>
    <w:rsid w:val="13DD65F2"/>
    <w:rsid w:val="13FE6D92"/>
    <w:rsid w:val="14A625C4"/>
    <w:rsid w:val="15057905"/>
    <w:rsid w:val="15101AF8"/>
    <w:rsid w:val="151E65FF"/>
    <w:rsid w:val="15220F75"/>
    <w:rsid w:val="15DC4FC5"/>
    <w:rsid w:val="1607444C"/>
    <w:rsid w:val="160F2370"/>
    <w:rsid w:val="168530A9"/>
    <w:rsid w:val="16B52BC7"/>
    <w:rsid w:val="16B96268"/>
    <w:rsid w:val="17021917"/>
    <w:rsid w:val="17435EA8"/>
    <w:rsid w:val="1770152E"/>
    <w:rsid w:val="179130B8"/>
    <w:rsid w:val="17936E30"/>
    <w:rsid w:val="17BD5C5B"/>
    <w:rsid w:val="17F7183D"/>
    <w:rsid w:val="187B0521"/>
    <w:rsid w:val="18D07C10"/>
    <w:rsid w:val="18D10FAD"/>
    <w:rsid w:val="18E27DF5"/>
    <w:rsid w:val="19810BDD"/>
    <w:rsid w:val="19A84E9E"/>
    <w:rsid w:val="19B450E9"/>
    <w:rsid w:val="19BA59C6"/>
    <w:rsid w:val="19D26A93"/>
    <w:rsid w:val="1A0C6241"/>
    <w:rsid w:val="1A1F2268"/>
    <w:rsid w:val="1A2608F3"/>
    <w:rsid w:val="1A4B1C44"/>
    <w:rsid w:val="1B3721C8"/>
    <w:rsid w:val="1B3F02AC"/>
    <w:rsid w:val="1C077DEC"/>
    <w:rsid w:val="1C595053"/>
    <w:rsid w:val="1C811F27"/>
    <w:rsid w:val="1C8C183C"/>
    <w:rsid w:val="1CEA6E7C"/>
    <w:rsid w:val="1D097B4C"/>
    <w:rsid w:val="1DAF7CAD"/>
    <w:rsid w:val="1DE23906"/>
    <w:rsid w:val="1E702BF6"/>
    <w:rsid w:val="1E976457"/>
    <w:rsid w:val="1F0345FB"/>
    <w:rsid w:val="1F2557B5"/>
    <w:rsid w:val="1F5C044F"/>
    <w:rsid w:val="200576E3"/>
    <w:rsid w:val="2019152B"/>
    <w:rsid w:val="203171E6"/>
    <w:rsid w:val="203B62B7"/>
    <w:rsid w:val="205F2FD5"/>
    <w:rsid w:val="206B515E"/>
    <w:rsid w:val="20A26F98"/>
    <w:rsid w:val="213B19A8"/>
    <w:rsid w:val="216374ED"/>
    <w:rsid w:val="21B420C1"/>
    <w:rsid w:val="21D44D8B"/>
    <w:rsid w:val="220A4E04"/>
    <w:rsid w:val="22736778"/>
    <w:rsid w:val="229121BE"/>
    <w:rsid w:val="22A246E8"/>
    <w:rsid w:val="22C72083"/>
    <w:rsid w:val="23A67EEB"/>
    <w:rsid w:val="23B13AFA"/>
    <w:rsid w:val="23CC3FEA"/>
    <w:rsid w:val="23F2702A"/>
    <w:rsid w:val="23FE5EA0"/>
    <w:rsid w:val="24247062"/>
    <w:rsid w:val="248144B4"/>
    <w:rsid w:val="248C1C53"/>
    <w:rsid w:val="24F21741"/>
    <w:rsid w:val="24F86524"/>
    <w:rsid w:val="250D45F6"/>
    <w:rsid w:val="251A0B90"/>
    <w:rsid w:val="2540611D"/>
    <w:rsid w:val="25665B84"/>
    <w:rsid w:val="25700826"/>
    <w:rsid w:val="25AB66DE"/>
    <w:rsid w:val="25BA331A"/>
    <w:rsid w:val="25D94FA6"/>
    <w:rsid w:val="25E775C8"/>
    <w:rsid w:val="26A145C9"/>
    <w:rsid w:val="26BA0BD4"/>
    <w:rsid w:val="26D60AE7"/>
    <w:rsid w:val="26FC7E22"/>
    <w:rsid w:val="27795C02"/>
    <w:rsid w:val="28031B4C"/>
    <w:rsid w:val="282A0D30"/>
    <w:rsid w:val="28A06E46"/>
    <w:rsid w:val="28FD610A"/>
    <w:rsid w:val="295A0780"/>
    <w:rsid w:val="29746395"/>
    <w:rsid w:val="297F238E"/>
    <w:rsid w:val="29B55477"/>
    <w:rsid w:val="29F714A0"/>
    <w:rsid w:val="2A2D130C"/>
    <w:rsid w:val="2AA84C85"/>
    <w:rsid w:val="2ADD37A4"/>
    <w:rsid w:val="2B325FC3"/>
    <w:rsid w:val="2B342280"/>
    <w:rsid w:val="2B8E552D"/>
    <w:rsid w:val="2BD202A5"/>
    <w:rsid w:val="2BE77795"/>
    <w:rsid w:val="2C157F22"/>
    <w:rsid w:val="2C46226B"/>
    <w:rsid w:val="2C536916"/>
    <w:rsid w:val="2CB653BC"/>
    <w:rsid w:val="2D213674"/>
    <w:rsid w:val="2D9C5B61"/>
    <w:rsid w:val="2DB636E2"/>
    <w:rsid w:val="2DE25FC3"/>
    <w:rsid w:val="2E666BF4"/>
    <w:rsid w:val="2E683FB0"/>
    <w:rsid w:val="2E6B420B"/>
    <w:rsid w:val="2E8348DD"/>
    <w:rsid w:val="2E8E1BA3"/>
    <w:rsid w:val="2E995C36"/>
    <w:rsid w:val="2ED659AE"/>
    <w:rsid w:val="2F9A5AC2"/>
    <w:rsid w:val="2FC811E9"/>
    <w:rsid w:val="3004116A"/>
    <w:rsid w:val="30121DEE"/>
    <w:rsid w:val="307F3F9D"/>
    <w:rsid w:val="3095556F"/>
    <w:rsid w:val="309A2B85"/>
    <w:rsid w:val="30C43B08"/>
    <w:rsid w:val="30E4128B"/>
    <w:rsid w:val="30E70198"/>
    <w:rsid w:val="3152703C"/>
    <w:rsid w:val="3175714F"/>
    <w:rsid w:val="3196216B"/>
    <w:rsid w:val="31EC70F5"/>
    <w:rsid w:val="329D3A9A"/>
    <w:rsid w:val="32DF2AD1"/>
    <w:rsid w:val="32F3657D"/>
    <w:rsid w:val="331057B0"/>
    <w:rsid w:val="334D1959"/>
    <w:rsid w:val="33977850"/>
    <w:rsid w:val="33A22CF9"/>
    <w:rsid w:val="33C54D40"/>
    <w:rsid w:val="33CA5530"/>
    <w:rsid w:val="33EC194A"/>
    <w:rsid w:val="340A0022"/>
    <w:rsid w:val="34225753"/>
    <w:rsid w:val="34515C51"/>
    <w:rsid w:val="348C1E0E"/>
    <w:rsid w:val="34E31655"/>
    <w:rsid w:val="34EB7E53"/>
    <w:rsid w:val="34F423E1"/>
    <w:rsid w:val="34FE035F"/>
    <w:rsid w:val="350E6B36"/>
    <w:rsid w:val="354060B5"/>
    <w:rsid w:val="355806B6"/>
    <w:rsid w:val="35611AD6"/>
    <w:rsid w:val="362842D6"/>
    <w:rsid w:val="363532AA"/>
    <w:rsid w:val="365A5232"/>
    <w:rsid w:val="36D36DF1"/>
    <w:rsid w:val="37092813"/>
    <w:rsid w:val="37867625"/>
    <w:rsid w:val="378D492D"/>
    <w:rsid w:val="37E72DF4"/>
    <w:rsid w:val="38195057"/>
    <w:rsid w:val="385D6C8B"/>
    <w:rsid w:val="38652217"/>
    <w:rsid w:val="3867090A"/>
    <w:rsid w:val="38707DE6"/>
    <w:rsid w:val="387E373D"/>
    <w:rsid w:val="3891486E"/>
    <w:rsid w:val="38E34E8D"/>
    <w:rsid w:val="38F13A35"/>
    <w:rsid w:val="39081FFC"/>
    <w:rsid w:val="39E54DF5"/>
    <w:rsid w:val="39F03816"/>
    <w:rsid w:val="3A541FF7"/>
    <w:rsid w:val="3B273442"/>
    <w:rsid w:val="3B643268"/>
    <w:rsid w:val="3C0B0DDB"/>
    <w:rsid w:val="3C6B1D42"/>
    <w:rsid w:val="3C986C23"/>
    <w:rsid w:val="3C9E2980"/>
    <w:rsid w:val="3CA449FA"/>
    <w:rsid w:val="3CCC056A"/>
    <w:rsid w:val="3CCC3290"/>
    <w:rsid w:val="3CF21BD1"/>
    <w:rsid w:val="3D0C6BB9"/>
    <w:rsid w:val="3D202664"/>
    <w:rsid w:val="3D216696"/>
    <w:rsid w:val="3D533132"/>
    <w:rsid w:val="3D583BAC"/>
    <w:rsid w:val="3D8320C5"/>
    <w:rsid w:val="3DAD6F22"/>
    <w:rsid w:val="3E08356D"/>
    <w:rsid w:val="3E372702"/>
    <w:rsid w:val="3E534F17"/>
    <w:rsid w:val="3EDA00C4"/>
    <w:rsid w:val="3F613C15"/>
    <w:rsid w:val="3F82402D"/>
    <w:rsid w:val="3F84512C"/>
    <w:rsid w:val="3FFB2FB5"/>
    <w:rsid w:val="3FFB58ED"/>
    <w:rsid w:val="3FFF275F"/>
    <w:rsid w:val="40135477"/>
    <w:rsid w:val="402175AA"/>
    <w:rsid w:val="40BA4B7E"/>
    <w:rsid w:val="40C451A5"/>
    <w:rsid w:val="40CF1395"/>
    <w:rsid w:val="40F956A6"/>
    <w:rsid w:val="40FF50AB"/>
    <w:rsid w:val="41406E31"/>
    <w:rsid w:val="41696580"/>
    <w:rsid w:val="41871BB1"/>
    <w:rsid w:val="421D05BE"/>
    <w:rsid w:val="423746D8"/>
    <w:rsid w:val="427B220C"/>
    <w:rsid w:val="432C5D8F"/>
    <w:rsid w:val="43647A28"/>
    <w:rsid w:val="437D3F48"/>
    <w:rsid w:val="438222BA"/>
    <w:rsid w:val="43851E8E"/>
    <w:rsid w:val="43B979DD"/>
    <w:rsid w:val="43EF1439"/>
    <w:rsid w:val="43F32881"/>
    <w:rsid w:val="44147E9F"/>
    <w:rsid w:val="446A056C"/>
    <w:rsid w:val="44CA116E"/>
    <w:rsid w:val="44E82A68"/>
    <w:rsid w:val="452674DF"/>
    <w:rsid w:val="45B37181"/>
    <w:rsid w:val="45B44C91"/>
    <w:rsid w:val="45B97A3B"/>
    <w:rsid w:val="45C5024D"/>
    <w:rsid w:val="45EF37A9"/>
    <w:rsid w:val="45F15E2C"/>
    <w:rsid w:val="46AB7443"/>
    <w:rsid w:val="46BF0500"/>
    <w:rsid w:val="473D4B07"/>
    <w:rsid w:val="475C435D"/>
    <w:rsid w:val="475E0298"/>
    <w:rsid w:val="47633879"/>
    <w:rsid w:val="47A34C68"/>
    <w:rsid w:val="485937C5"/>
    <w:rsid w:val="48627FD5"/>
    <w:rsid w:val="487B468E"/>
    <w:rsid w:val="489D5BB3"/>
    <w:rsid w:val="48CC3CE1"/>
    <w:rsid w:val="48CE67CF"/>
    <w:rsid w:val="494F4327"/>
    <w:rsid w:val="49753D38"/>
    <w:rsid w:val="49800D31"/>
    <w:rsid w:val="499464EA"/>
    <w:rsid w:val="4A0A2D36"/>
    <w:rsid w:val="4A546BEF"/>
    <w:rsid w:val="4A6A25B5"/>
    <w:rsid w:val="4AB11F98"/>
    <w:rsid w:val="4ADC76A6"/>
    <w:rsid w:val="4B2477C4"/>
    <w:rsid w:val="4B4403AE"/>
    <w:rsid w:val="4B98431B"/>
    <w:rsid w:val="4BAB7A7C"/>
    <w:rsid w:val="4BD94D8C"/>
    <w:rsid w:val="4BDE0DC1"/>
    <w:rsid w:val="4C2832E3"/>
    <w:rsid w:val="4C351B8E"/>
    <w:rsid w:val="4CF37AF3"/>
    <w:rsid w:val="4D2C0BB1"/>
    <w:rsid w:val="4DC13B8A"/>
    <w:rsid w:val="4F2150E3"/>
    <w:rsid w:val="4F455F5A"/>
    <w:rsid w:val="4F593B03"/>
    <w:rsid w:val="4F8162C5"/>
    <w:rsid w:val="4FDB3A65"/>
    <w:rsid w:val="500614DF"/>
    <w:rsid w:val="503E6C32"/>
    <w:rsid w:val="50AB0078"/>
    <w:rsid w:val="5112255B"/>
    <w:rsid w:val="521B0F38"/>
    <w:rsid w:val="523835F9"/>
    <w:rsid w:val="527A5F1B"/>
    <w:rsid w:val="528B5A07"/>
    <w:rsid w:val="52957A7C"/>
    <w:rsid w:val="53114997"/>
    <w:rsid w:val="539F7D4F"/>
    <w:rsid w:val="53B8319F"/>
    <w:rsid w:val="53FA74D7"/>
    <w:rsid w:val="540E1011"/>
    <w:rsid w:val="541C2B02"/>
    <w:rsid w:val="54491C3F"/>
    <w:rsid w:val="5469157D"/>
    <w:rsid w:val="54B669A9"/>
    <w:rsid w:val="54C77B6A"/>
    <w:rsid w:val="569F2BD2"/>
    <w:rsid w:val="56A63F95"/>
    <w:rsid w:val="56D55E1A"/>
    <w:rsid w:val="56DB5394"/>
    <w:rsid w:val="57C02622"/>
    <w:rsid w:val="57F4051E"/>
    <w:rsid w:val="58520CE5"/>
    <w:rsid w:val="58AF4070"/>
    <w:rsid w:val="593655BD"/>
    <w:rsid w:val="59FB289B"/>
    <w:rsid w:val="5A1F1D41"/>
    <w:rsid w:val="5A3A2B60"/>
    <w:rsid w:val="5A74674D"/>
    <w:rsid w:val="5A7A11AE"/>
    <w:rsid w:val="5A855948"/>
    <w:rsid w:val="5B001924"/>
    <w:rsid w:val="5B416023"/>
    <w:rsid w:val="5B550BD5"/>
    <w:rsid w:val="5BD5756C"/>
    <w:rsid w:val="5BF35694"/>
    <w:rsid w:val="5C310400"/>
    <w:rsid w:val="5C526DBE"/>
    <w:rsid w:val="5C63320B"/>
    <w:rsid w:val="5CA7000F"/>
    <w:rsid w:val="5CB36BF9"/>
    <w:rsid w:val="5D157323"/>
    <w:rsid w:val="5D340475"/>
    <w:rsid w:val="5D570EAB"/>
    <w:rsid w:val="5DC0438E"/>
    <w:rsid w:val="5E230096"/>
    <w:rsid w:val="5E267C51"/>
    <w:rsid w:val="5E3C3929"/>
    <w:rsid w:val="5EB17168"/>
    <w:rsid w:val="5EFF0762"/>
    <w:rsid w:val="5F0955D7"/>
    <w:rsid w:val="5F7A2831"/>
    <w:rsid w:val="5F9E075D"/>
    <w:rsid w:val="5FC70EB1"/>
    <w:rsid w:val="602776E2"/>
    <w:rsid w:val="60366C66"/>
    <w:rsid w:val="605D54D5"/>
    <w:rsid w:val="60E32887"/>
    <w:rsid w:val="60F37ACA"/>
    <w:rsid w:val="616109D2"/>
    <w:rsid w:val="61A62889"/>
    <w:rsid w:val="62104DC3"/>
    <w:rsid w:val="62233ED9"/>
    <w:rsid w:val="62482CCB"/>
    <w:rsid w:val="625B3A11"/>
    <w:rsid w:val="62A23AB4"/>
    <w:rsid w:val="62A548E0"/>
    <w:rsid w:val="62B62F9F"/>
    <w:rsid w:val="63210601"/>
    <w:rsid w:val="63436B47"/>
    <w:rsid w:val="63576530"/>
    <w:rsid w:val="636A7441"/>
    <w:rsid w:val="638053B8"/>
    <w:rsid w:val="6394434F"/>
    <w:rsid w:val="6397429B"/>
    <w:rsid w:val="63E84C2F"/>
    <w:rsid w:val="64584A89"/>
    <w:rsid w:val="64DA22DE"/>
    <w:rsid w:val="64F5464E"/>
    <w:rsid w:val="65753E79"/>
    <w:rsid w:val="659B3316"/>
    <w:rsid w:val="65C202C2"/>
    <w:rsid w:val="65D745BC"/>
    <w:rsid w:val="670A38BA"/>
    <w:rsid w:val="678F3CF5"/>
    <w:rsid w:val="679735F1"/>
    <w:rsid w:val="68213281"/>
    <w:rsid w:val="688A367E"/>
    <w:rsid w:val="68B84D34"/>
    <w:rsid w:val="69076303"/>
    <w:rsid w:val="692A0243"/>
    <w:rsid w:val="693B4F00"/>
    <w:rsid w:val="6978328D"/>
    <w:rsid w:val="699F02A3"/>
    <w:rsid w:val="69A00AF6"/>
    <w:rsid w:val="69AC6EAA"/>
    <w:rsid w:val="69D84292"/>
    <w:rsid w:val="6A30265D"/>
    <w:rsid w:val="6A3B2953"/>
    <w:rsid w:val="6A5F3F1C"/>
    <w:rsid w:val="6A6859D7"/>
    <w:rsid w:val="6A6E5F0E"/>
    <w:rsid w:val="6AA769A2"/>
    <w:rsid w:val="6AC63F9C"/>
    <w:rsid w:val="6ADC45A8"/>
    <w:rsid w:val="6B0D19EC"/>
    <w:rsid w:val="6B4E35A2"/>
    <w:rsid w:val="6B6B66CF"/>
    <w:rsid w:val="6BBA262D"/>
    <w:rsid w:val="6BDE03B4"/>
    <w:rsid w:val="6C8F364A"/>
    <w:rsid w:val="6CA768C2"/>
    <w:rsid w:val="6CEA34B7"/>
    <w:rsid w:val="6D487F9C"/>
    <w:rsid w:val="6E2F01FA"/>
    <w:rsid w:val="6E7216CB"/>
    <w:rsid w:val="6E957F0D"/>
    <w:rsid w:val="6ECE1671"/>
    <w:rsid w:val="6ED027F2"/>
    <w:rsid w:val="6ED6688D"/>
    <w:rsid w:val="6F0F0D20"/>
    <w:rsid w:val="6F3F080A"/>
    <w:rsid w:val="6F9167D5"/>
    <w:rsid w:val="70207CAA"/>
    <w:rsid w:val="70616762"/>
    <w:rsid w:val="70976F98"/>
    <w:rsid w:val="70A575D4"/>
    <w:rsid w:val="70A94143"/>
    <w:rsid w:val="70BD3B02"/>
    <w:rsid w:val="71592AD0"/>
    <w:rsid w:val="71BA7C8A"/>
    <w:rsid w:val="71D87D91"/>
    <w:rsid w:val="71EF2623"/>
    <w:rsid w:val="72BF19FC"/>
    <w:rsid w:val="72CA5DBD"/>
    <w:rsid w:val="73414DCD"/>
    <w:rsid w:val="739D1646"/>
    <w:rsid w:val="73E56B98"/>
    <w:rsid w:val="74406B6D"/>
    <w:rsid w:val="744D04DB"/>
    <w:rsid w:val="747353FD"/>
    <w:rsid w:val="747453A5"/>
    <w:rsid w:val="74E05C5A"/>
    <w:rsid w:val="756077FC"/>
    <w:rsid w:val="75712376"/>
    <w:rsid w:val="75750A98"/>
    <w:rsid w:val="75976C60"/>
    <w:rsid w:val="759871E0"/>
    <w:rsid w:val="75D91027"/>
    <w:rsid w:val="75F85FD2"/>
    <w:rsid w:val="7658276E"/>
    <w:rsid w:val="76C421E9"/>
    <w:rsid w:val="7720406E"/>
    <w:rsid w:val="77485EFC"/>
    <w:rsid w:val="779638B5"/>
    <w:rsid w:val="77FE44CE"/>
    <w:rsid w:val="78787987"/>
    <w:rsid w:val="78AC273E"/>
    <w:rsid w:val="78C65643"/>
    <w:rsid w:val="7902048D"/>
    <w:rsid w:val="790F6665"/>
    <w:rsid w:val="792B48B5"/>
    <w:rsid w:val="794F33AE"/>
    <w:rsid w:val="795103A5"/>
    <w:rsid w:val="79AC0535"/>
    <w:rsid w:val="79AC0A9A"/>
    <w:rsid w:val="79E90A44"/>
    <w:rsid w:val="7B3F4E5D"/>
    <w:rsid w:val="7B7F61CD"/>
    <w:rsid w:val="7BE8067C"/>
    <w:rsid w:val="7BF84F09"/>
    <w:rsid w:val="7C454AA5"/>
    <w:rsid w:val="7C7970C0"/>
    <w:rsid w:val="7CFC55FB"/>
    <w:rsid w:val="7D7F0706"/>
    <w:rsid w:val="7D813877"/>
    <w:rsid w:val="7DA12672"/>
    <w:rsid w:val="7DC8300A"/>
    <w:rsid w:val="7E03518B"/>
    <w:rsid w:val="7E221AB0"/>
    <w:rsid w:val="7E4324C8"/>
    <w:rsid w:val="7E464D80"/>
    <w:rsid w:val="7EA810DB"/>
    <w:rsid w:val="7EB0669D"/>
    <w:rsid w:val="7EB3393F"/>
    <w:rsid w:val="7EFC005F"/>
    <w:rsid w:val="7F6F0439"/>
    <w:rsid w:val="7F7122D0"/>
    <w:rsid w:val="7F7F453B"/>
    <w:rsid w:val="7FD64829"/>
    <w:rsid w:val="7FDC3ECF"/>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520" w:lineRule="exact"/>
      <w:outlineLvl w:val="0"/>
    </w:pPr>
    <w:rPr>
      <w:w w:val="66"/>
      <w:sz w:val="32"/>
    </w:rPr>
  </w:style>
  <w:style w:type="paragraph" w:styleId="3">
    <w:name w:val="heading 2"/>
    <w:basedOn w:val="1"/>
    <w:next w:val="1"/>
    <w:qFormat/>
    <w:uiPriority w:val="0"/>
    <w:pPr>
      <w:keepNext/>
      <w:adjustRightInd w:val="0"/>
      <w:snapToGrid w:val="0"/>
      <w:spacing w:line="440" w:lineRule="exact"/>
      <w:jc w:val="center"/>
      <w:outlineLvl w:val="1"/>
    </w:pPr>
    <w:rPr>
      <w:rFonts w:eastAsia="仿宋_GB2312"/>
      <w:sz w:val="32"/>
      <w:szCs w:val="32"/>
    </w:rPr>
  </w:style>
  <w:style w:type="paragraph" w:styleId="4">
    <w:name w:val="heading 3"/>
    <w:basedOn w:val="1"/>
    <w:next w:val="1"/>
    <w:qFormat/>
    <w:uiPriority w:val="0"/>
    <w:pPr>
      <w:keepNext/>
      <w:outlineLvl w:val="2"/>
    </w:pPr>
    <w:rPr>
      <w:sz w:val="30"/>
    </w:rPr>
  </w:style>
  <w:style w:type="paragraph" w:styleId="5">
    <w:name w:val="heading 4"/>
    <w:basedOn w:val="1"/>
    <w:next w:val="1"/>
    <w:link w:val="41"/>
    <w:qFormat/>
    <w:uiPriority w:val="0"/>
    <w:pPr>
      <w:keepNext/>
      <w:keepLines/>
      <w:spacing w:before="280" w:after="290" w:line="376" w:lineRule="auto"/>
      <w:outlineLvl w:val="3"/>
    </w:pPr>
    <w:rPr>
      <w:rFonts w:ascii="等线 Light" w:hAnsi="等线 Light" w:eastAsia="等线 Light"/>
      <w:b/>
      <w:bCs/>
      <w:sz w:val="28"/>
      <w:szCs w:val="28"/>
    </w:rPr>
  </w:style>
  <w:style w:type="paragraph" w:styleId="6">
    <w:name w:val="heading 5"/>
    <w:basedOn w:val="1"/>
    <w:next w:val="7"/>
    <w:qFormat/>
    <w:uiPriority w:val="0"/>
    <w:pPr>
      <w:keepNext/>
      <w:numPr>
        <w:ilvl w:val="0"/>
        <w:numId w:val="1"/>
      </w:numPr>
      <w:outlineLvl w:val="4"/>
    </w:pPr>
    <w:rPr>
      <w:rFonts w:ascii="宋体"/>
      <w:sz w:val="28"/>
      <w:szCs w:val="20"/>
    </w:rPr>
  </w:style>
  <w:style w:type="paragraph" w:styleId="9">
    <w:name w:val="heading 7"/>
    <w:basedOn w:val="1"/>
    <w:next w:val="7"/>
    <w:qFormat/>
    <w:uiPriority w:val="0"/>
    <w:pPr>
      <w:keepNext/>
      <w:numPr>
        <w:ilvl w:val="0"/>
        <w:numId w:val="2"/>
      </w:numPr>
      <w:outlineLvl w:val="6"/>
    </w:pPr>
    <w:rPr>
      <w:rFonts w:eastAsia="楷体_GB2312"/>
      <w:b/>
      <w:sz w:val="32"/>
      <w:szCs w:val="20"/>
    </w:rPr>
  </w:style>
  <w:style w:type="character" w:default="1" w:styleId="35">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qFormat/>
    <w:uiPriority w:val="0"/>
    <w:pPr>
      <w:ind w:firstLine="420"/>
    </w:pPr>
    <w:rPr>
      <w:szCs w:val="20"/>
    </w:rPr>
  </w:style>
  <w:style w:type="paragraph" w:styleId="8">
    <w:name w:val="index 8"/>
    <w:basedOn w:val="1"/>
    <w:next w:val="1"/>
    <w:qFormat/>
    <w:uiPriority w:val="0"/>
    <w:pPr>
      <w:framePr w:wrap="around" w:vAnchor="margin" w:hAnchor="text" w:yAlign="top"/>
      <w:ind w:left="2940"/>
    </w:pPr>
    <w:rPr>
      <w:color w:val="000000"/>
      <w:szCs w:val="21"/>
    </w:rPr>
  </w:style>
  <w:style w:type="paragraph" w:styleId="10">
    <w:name w:val="List Number"/>
    <w:basedOn w:val="1"/>
    <w:qFormat/>
    <w:uiPriority w:val="0"/>
    <w:pPr>
      <w:numPr>
        <w:ilvl w:val="0"/>
        <w:numId w:val="3"/>
      </w:numPr>
    </w:pPr>
  </w:style>
  <w:style w:type="paragraph" w:styleId="11">
    <w:name w:val="annotation text"/>
    <w:basedOn w:val="1"/>
    <w:link w:val="42"/>
    <w:qFormat/>
    <w:uiPriority w:val="0"/>
    <w:pPr>
      <w:jc w:val="left"/>
    </w:pPr>
  </w:style>
  <w:style w:type="paragraph" w:styleId="12">
    <w:name w:val="Body Text 3"/>
    <w:basedOn w:val="1"/>
    <w:qFormat/>
    <w:uiPriority w:val="0"/>
    <w:rPr>
      <w:rFonts w:ascii="仿宋_GB2312" w:eastAsia="仿宋_GB2312"/>
      <w:sz w:val="28"/>
    </w:rPr>
  </w:style>
  <w:style w:type="paragraph" w:styleId="13">
    <w:name w:val="Body Text"/>
    <w:basedOn w:val="1"/>
    <w:qFormat/>
    <w:uiPriority w:val="0"/>
    <w:pPr>
      <w:adjustRightInd w:val="0"/>
      <w:snapToGrid w:val="0"/>
      <w:spacing w:line="440" w:lineRule="exact"/>
      <w:ind w:right="466" w:rightChars="244"/>
      <w:jc w:val="center"/>
    </w:pPr>
    <w:rPr>
      <w:rFonts w:ascii="仿宋_GB2312" w:eastAsia="仿宋_GB2312"/>
      <w:sz w:val="24"/>
      <w:szCs w:val="32"/>
    </w:rPr>
  </w:style>
  <w:style w:type="paragraph" w:styleId="14">
    <w:name w:val="Body Text Indent"/>
    <w:basedOn w:val="1"/>
    <w:qFormat/>
    <w:uiPriority w:val="0"/>
    <w:pPr>
      <w:ind w:firstLine="602" w:firstLineChars="200"/>
      <w:outlineLvl w:val="0"/>
    </w:pPr>
    <w:rPr>
      <w:rFonts w:ascii="仿宋_GB2312" w:eastAsia="仿宋_GB2312"/>
      <w:sz w:val="32"/>
    </w:rPr>
  </w:style>
  <w:style w:type="paragraph" w:styleId="15">
    <w:name w:val="toc 3"/>
    <w:basedOn w:val="1"/>
    <w:next w:val="1"/>
    <w:unhideWhenUsed/>
    <w:qFormat/>
    <w:uiPriority w:val="39"/>
    <w:pPr>
      <w:widowControl/>
      <w:spacing w:after="100" w:line="259" w:lineRule="auto"/>
      <w:ind w:left="440"/>
      <w:jc w:val="left"/>
    </w:pPr>
    <w:rPr>
      <w:rFonts w:ascii="等线" w:hAnsi="等线" w:eastAsia="等线"/>
      <w:kern w:val="0"/>
      <w:sz w:val="22"/>
      <w:szCs w:val="22"/>
    </w:rPr>
  </w:style>
  <w:style w:type="paragraph" w:styleId="16">
    <w:name w:val="Plain Text"/>
    <w:basedOn w:val="1"/>
    <w:link w:val="43"/>
    <w:qFormat/>
    <w:uiPriority w:val="0"/>
    <w:rPr>
      <w:rFonts w:ascii="宋体" w:hAnsi="Courier New"/>
      <w:szCs w:val="20"/>
    </w:rPr>
  </w:style>
  <w:style w:type="paragraph" w:styleId="17">
    <w:name w:val="Date"/>
    <w:basedOn w:val="1"/>
    <w:next w:val="1"/>
    <w:qFormat/>
    <w:uiPriority w:val="0"/>
    <w:pPr>
      <w:ind w:left="100" w:leftChars="2500"/>
    </w:pPr>
    <w:rPr>
      <w:rFonts w:ascii="仿宋_GB2312" w:eastAsia="仿宋_GB2312"/>
      <w:sz w:val="28"/>
    </w:rPr>
  </w:style>
  <w:style w:type="paragraph" w:styleId="18">
    <w:name w:val="Body Text Indent 2"/>
    <w:basedOn w:val="1"/>
    <w:qFormat/>
    <w:uiPriority w:val="0"/>
    <w:pPr>
      <w:spacing w:line="580" w:lineRule="exact"/>
      <w:ind w:firstLine="615"/>
      <w:jc w:val="left"/>
    </w:pPr>
    <w:rPr>
      <w:rFonts w:eastAsia="仿宋_GB2312"/>
      <w:sz w:val="30"/>
      <w:szCs w:val="20"/>
    </w:rPr>
  </w:style>
  <w:style w:type="paragraph" w:styleId="19">
    <w:name w:val="endnote text"/>
    <w:basedOn w:val="1"/>
    <w:qFormat/>
    <w:uiPriority w:val="0"/>
    <w:pPr>
      <w:snapToGrid w:val="0"/>
      <w:jc w:val="left"/>
    </w:pPr>
  </w:style>
  <w:style w:type="paragraph" w:styleId="20">
    <w:name w:val="Balloon Text"/>
    <w:basedOn w:val="1"/>
    <w:link w:val="44"/>
    <w:qFormat/>
    <w:uiPriority w:val="0"/>
    <w:rPr>
      <w:sz w:val="18"/>
      <w:szCs w:val="18"/>
    </w:rPr>
  </w:style>
  <w:style w:type="paragraph" w:styleId="21">
    <w:name w:val="footer"/>
    <w:basedOn w:val="1"/>
    <w:link w:val="45"/>
    <w:qFormat/>
    <w:uiPriority w:val="99"/>
    <w:pPr>
      <w:tabs>
        <w:tab w:val="center" w:pos="4153"/>
        <w:tab w:val="right" w:pos="8306"/>
      </w:tabs>
      <w:snapToGrid w:val="0"/>
      <w:jc w:val="left"/>
    </w:pPr>
    <w:rPr>
      <w:sz w:val="18"/>
      <w:szCs w:val="18"/>
    </w:rPr>
  </w:style>
  <w:style w:type="paragraph" w:styleId="22">
    <w:name w:val="header"/>
    <w:basedOn w:val="1"/>
    <w:link w:val="46"/>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unhideWhenUsed/>
    <w:qFormat/>
    <w:uiPriority w:val="39"/>
    <w:pPr>
      <w:widowControl/>
      <w:tabs>
        <w:tab w:val="right" w:leader="dot" w:pos="9628"/>
      </w:tabs>
      <w:spacing w:after="100"/>
      <w:jc w:val="left"/>
    </w:pPr>
    <w:rPr>
      <w:rFonts w:ascii="等线" w:hAnsi="等线" w:eastAsia="等线"/>
      <w:kern w:val="0"/>
      <w:sz w:val="22"/>
      <w:szCs w:val="22"/>
    </w:rPr>
  </w:style>
  <w:style w:type="paragraph" w:styleId="24">
    <w:name w:val="Body Text Indent 3"/>
    <w:basedOn w:val="1"/>
    <w:qFormat/>
    <w:uiPriority w:val="0"/>
    <w:pPr>
      <w:spacing w:line="580" w:lineRule="exact"/>
      <w:ind w:firstLine="615"/>
    </w:pPr>
    <w:rPr>
      <w:rFonts w:eastAsia="仿宋_GB2312"/>
      <w:sz w:val="30"/>
      <w:szCs w:val="20"/>
    </w:rPr>
  </w:style>
  <w:style w:type="paragraph" w:styleId="25">
    <w:name w:val="toc 2"/>
    <w:basedOn w:val="1"/>
    <w:next w:val="1"/>
    <w:unhideWhenUsed/>
    <w:qFormat/>
    <w:uiPriority w:val="39"/>
    <w:pPr>
      <w:widowControl/>
      <w:spacing w:after="100" w:line="259" w:lineRule="auto"/>
      <w:ind w:left="220"/>
      <w:jc w:val="left"/>
    </w:pPr>
    <w:rPr>
      <w:rFonts w:ascii="等线" w:hAnsi="等线" w:eastAsia="等线"/>
      <w:kern w:val="0"/>
      <w:sz w:val="22"/>
      <w:szCs w:val="22"/>
    </w:rPr>
  </w:style>
  <w:style w:type="paragraph" w:styleId="26">
    <w:name w:val="Body Text 2"/>
    <w:basedOn w:val="1"/>
    <w:qFormat/>
    <w:uiPriority w:val="0"/>
    <w:pPr>
      <w:tabs>
        <w:tab w:val="left" w:pos="0"/>
        <w:tab w:val="left" w:pos="770"/>
        <w:tab w:val="left" w:pos="924"/>
        <w:tab w:val="left" w:pos="1078"/>
      </w:tabs>
      <w:spacing w:line="580" w:lineRule="exact"/>
      <w:jc w:val="left"/>
    </w:pPr>
    <w:rPr>
      <w:rFonts w:ascii="楷体_GB2312" w:eastAsia="楷体_GB2312"/>
      <w:sz w:val="30"/>
      <w:szCs w:val="20"/>
    </w:rPr>
  </w:style>
  <w:style w:type="paragraph" w:styleId="27">
    <w:name w:val="Normal (Web)"/>
    <w:basedOn w:val="1"/>
    <w:qFormat/>
    <w:uiPriority w:val="0"/>
    <w:pPr>
      <w:spacing w:before="100" w:beforeAutospacing="1" w:after="100" w:afterAutospacing="1"/>
      <w:jc w:val="left"/>
    </w:pPr>
    <w:rPr>
      <w:kern w:val="0"/>
      <w:sz w:val="24"/>
    </w:rPr>
  </w:style>
  <w:style w:type="paragraph" w:styleId="28">
    <w:name w:val="index 1"/>
    <w:basedOn w:val="1"/>
    <w:next w:val="1"/>
    <w:qFormat/>
    <w:uiPriority w:val="0"/>
  </w:style>
  <w:style w:type="paragraph" w:styleId="29">
    <w:name w:val="Title"/>
    <w:basedOn w:val="1"/>
    <w:next w:val="1"/>
    <w:qFormat/>
    <w:uiPriority w:val="0"/>
    <w:pPr>
      <w:spacing w:line="360" w:lineRule="auto"/>
      <w:jc w:val="center"/>
      <w:outlineLvl w:val="2"/>
    </w:pPr>
    <w:rPr>
      <w:rFonts w:ascii="Cambria" w:hAnsi="Cambria"/>
      <w:b/>
      <w:bCs/>
      <w:sz w:val="32"/>
      <w:szCs w:val="32"/>
    </w:rPr>
  </w:style>
  <w:style w:type="paragraph" w:styleId="30">
    <w:name w:val="annotation subject"/>
    <w:basedOn w:val="11"/>
    <w:next w:val="11"/>
    <w:link w:val="47"/>
    <w:qFormat/>
    <w:uiPriority w:val="0"/>
    <w:rPr>
      <w:b/>
      <w:bCs/>
    </w:rPr>
  </w:style>
  <w:style w:type="paragraph" w:styleId="31">
    <w:name w:val="Body Text First Indent"/>
    <w:basedOn w:val="13"/>
    <w:qFormat/>
    <w:uiPriority w:val="0"/>
    <w:pPr>
      <w:spacing w:after="120" w:line="240" w:lineRule="auto"/>
      <w:ind w:firstLine="420" w:firstLineChars="100"/>
    </w:pPr>
    <w:rPr>
      <w:szCs w:val="24"/>
    </w:rPr>
  </w:style>
  <w:style w:type="table" w:styleId="33">
    <w:name w:val="Table Grid"/>
    <w:basedOn w:val="3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
    <w:name w:val="Table Theme"/>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endnote reference"/>
    <w:qFormat/>
    <w:uiPriority w:val="0"/>
    <w:rPr>
      <w:vertAlign w:val="superscript"/>
    </w:rPr>
  </w:style>
  <w:style w:type="character" w:styleId="38">
    <w:name w:val="page number"/>
    <w:qFormat/>
    <w:uiPriority w:val="0"/>
  </w:style>
  <w:style w:type="character" w:styleId="39">
    <w:name w:val="Hyperlink"/>
    <w:qFormat/>
    <w:uiPriority w:val="99"/>
    <w:rPr>
      <w:color w:val="0000FF"/>
      <w:u w:val="single"/>
    </w:rPr>
  </w:style>
  <w:style w:type="character" w:styleId="40">
    <w:name w:val="annotation reference"/>
    <w:qFormat/>
    <w:uiPriority w:val="0"/>
    <w:rPr>
      <w:sz w:val="21"/>
      <w:szCs w:val="21"/>
    </w:rPr>
  </w:style>
  <w:style w:type="character" w:customStyle="1" w:styleId="41">
    <w:name w:val="标题 4 字符"/>
    <w:link w:val="5"/>
    <w:semiHidden/>
    <w:qFormat/>
    <w:uiPriority w:val="0"/>
    <w:rPr>
      <w:rFonts w:ascii="等线 Light" w:hAnsi="等线 Light" w:eastAsia="等线 Light" w:cs="Times New Roman"/>
      <w:b/>
      <w:bCs/>
      <w:kern w:val="2"/>
      <w:sz w:val="28"/>
      <w:szCs w:val="28"/>
    </w:rPr>
  </w:style>
  <w:style w:type="character" w:customStyle="1" w:styleId="42">
    <w:name w:val="批注文字 字符"/>
    <w:link w:val="11"/>
    <w:qFormat/>
    <w:uiPriority w:val="0"/>
    <w:rPr>
      <w:kern w:val="2"/>
      <w:sz w:val="21"/>
      <w:szCs w:val="24"/>
    </w:rPr>
  </w:style>
  <w:style w:type="character" w:customStyle="1" w:styleId="43">
    <w:name w:val="纯文本 字符"/>
    <w:link w:val="16"/>
    <w:qFormat/>
    <w:uiPriority w:val="0"/>
    <w:rPr>
      <w:rFonts w:ascii="宋体" w:hAnsi="Courier New"/>
      <w:kern w:val="2"/>
      <w:sz w:val="21"/>
    </w:rPr>
  </w:style>
  <w:style w:type="character" w:customStyle="1" w:styleId="44">
    <w:name w:val="批注框文本 字符"/>
    <w:link w:val="20"/>
    <w:qFormat/>
    <w:uiPriority w:val="0"/>
    <w:rPr>
      <w:kern w:val="2"/>
      <w:sz w:val="18"/>
      <w:szCs w:val="18"/>
    </w:rPr>
  </w:style>
  <w:style w:type="character" w:customStyle="1" w:styleId="45">
    <w:name w:val="页脚 字符"/>
    <w:link w:val="21"/>
    <w:qFormat/>
    <w:uiPriority w:val="99"/>
    <w:rPr>
      <w:kern w:val="2"/>
      <w:sz w:val="18"/>
      <w:szCs w:val="18"/>
    </w:rPr>
  </w:style>
  <w:style w:type="character" w:customStyle="1" w:styleId="46">
    <w:name w:val="页眉 字符"/>
    <w:link w:val="22"/>
    <w:qFormat/>
    <w:uiPriority w:val="99"/>
    <w:rPr>
      <w:kern w:val="2"/>
      <w:sz w:val="18"/>
      <w:szCs w:val="18"/>
    </w:rPr>
  </w:style>
  <w:style w:type="character" w:customStyle="1" w:styleId="47">
    <w:name w:val="批注主题 字符"/>
    <w:link w:val="30"/>
    <w:qFormat/>
    <w:uiPriority w:val="0"/>
    <w:rPr>
      <w:b/>
      <w:bCs/>
      <w:kern w:val="2"/>
      <w:sz w:val="21"/>
      <w:szCs w:val="24"/>
    </w:rPr>
  </w:style>
  <w:style w:type="paragraph" w:customStyle="1" w:styleId="4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9">
    <w:name w:val="Char"/>
    <w:basedOn w:val="1"/>
    <w:qFormat/>
    <w:uiPriority w:val="0"/>
    <w:rPr>
      <w:szCs w:val="20"/>
    </w:rPr>
  </w:style>
  <w:style w:type="paragraph" w:customStyle="1" w:styleId="50">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51">
    <w:name w:val="遴选文件样式2"/>
    <w:basedOn w:val="1"/>
    <w:qFormat/>
    <w:uiPriority w:val="0"/>
    <w:pPr>
      <w:widowControl/>
      <w:numPr>
        <w:ilvl w:val="1"/>
        <w:numId w:val="4"/>
      </w:numPr>
      <w:tabs>
        <w:tab w:val="left" w:pos="907"/>
      </w:tabs>
      <w:spacing w:line="360" w:lineRule="auto"/>
      <w:jc w:val="left"/>
    </w:pPr>
    <w:rPr>
      <w:rFonts w:hint="eastAsia" w:ascii="仿宋_GB2312" w:hAnsi="仿宋_GB2312" w:eastAsia="仿宋_GB2312" w:cs="宋体"/>
      <w:kern w:val="0"/>
      <w:sz w:val="24"/>
    </w:rPr>
  </w:style>
  <w:style w:type="paragraph" w:customStyle="1" w:styleId="52">
    <w:name w:val="遴选文件1级"/>
    <w:basedOn w:val="1"/>
    <w:qFormat/>
    <w:uiPriority w:val="0"/>
    <w:pPr>
      <w:keepNext/>
      <w:keepLines/>
      <w:widowControl/>
      <w:spacing w:line="360" w:lineRule="auto"/>
      <w:jc w:val="left"/>
      <w:outlineLvl w:val="0"/>
    </w:pPr>
    <w:rPr>
      <w:rFonts w:hint="eastAsia" w:ascii="仿宋_GB2312" w:hAnsi="仿宋_GB2312" w:eastAsia="仿宋_GB2312" w:cs="宋体"/>
      <w:b/>
      <w:bCs/>
      <w:kern w:val="44"/>
      <w:sz w:val="24"/>
      <w:szCs w:val="44"/>
    </w:rPr>
  </w:style>
  <w:style w:type="character" w:customStyle="1" w:styleId="53">
    <w:name w:val="标题 3 Char Char"/>
    <w:qFormat/>
    <w:uiPriority w:val="0"/>
    <w:rPr>
      <w:rFonts w:ascii="黑体" w:hAnsi="Tahoma" w:eastAsia="黑体"/>
      <w:bCs/>
      <w:sz w:val="30"/>
      <w:szCs w:val="20"/>
    </w:rPr>
  </w:style>
  <w:style w:type="paragraph" w:customStyle="1" w:styleId="54">
    <w:name w:val="Table Paragraph"/>
    <w:basedOn w:val="1"/>
    <w:qFormat/>
    <w:uiPriority w:val="1"/>
    <w:pPr>
      <w:widowControl/>
      <w:jc w:val="left"/>
    </w:pPr>
    <w:rPr>
      <w:rFonts w:ascii="宋体" w:hAnsi="宋体" w:cs="宋体"/>
      <w:kern w:val="0"/>
      <w:sz w:val="24"/>
    </w:rPr>
  </w:style>
  <w:style w:type="paragraph" w:customStyle="1" w:styleId="55">
    <w:name w:val="TOC Heading"/>
    <w:basedOn w:val="2"/>
    <w:next w:val="1"/>
    <w:qFormat/>
    <w:uiPriority w:val="39"/>
    <w:pPr>
      <w:keepLines/>
      <w:widowControl/>
      <w:spacing w:before="240" w:line="259" w:lineRule="auto"/>
      <w:jc w:val="left"/>
      <w:outlineLvl w:val="9"/>
    </w:pPr>
    <w:rPr>
      <w:rFonts w:ascii="等线 Light" w:hAnsi="等线 Light" w:eastAsia="等线 Light"/>
      <w:color w:val="0F4761"/>
      <w:w w:val="100"/>
      <w:kern w:val="0"/>
      <w:szCs w:val="32"/>
    </w:rPr>
  </w:style>
  <w:style w:type="paragraph" w:customStyle="1" w:styleId="56">
    <w:name w:val="样式1"/>
    <w:basedOn w:val="5"/>
    <w:link w:val="57"/>
    <w:qFormat/>
    <w:uiPriority w:val="0"/>
    <w:pPr>
      <w:ind w:firstLine="420"/>
      <w:outlineLvl w:val="2"/>
    </w:pPr>
    <w:rPr>
      <w:rFonts w:ascii="Arial Unicode MS" w:hAnsi="Arial Unicode MS" w:eastAsia="宋体"/>
      <w:b w:val="0"/>
      <w:bCs w:val="0"/>
      <w:sz w:val="32"/>
    </w:rPr>
  </w:style>
  <w:style w:type="character" w:customStyle="1" w:styleId="57">
    <w:name w:val="样式1 字符"/>
    <w:link w:val="56"/>
    <w:qFormat/>
    <w:uiPriority w:val="0"/>
    <w:rPr>
      <w:rFonts w:ascii="Arial Unicode MS" w:hAnsi="Arial Unicode MS" w:eastAsia="等线 Light" w:cs="Times New Roman"/>
      <w:kern w:val="2"/>
      <w:sz w:val="32"/>
      <w:szCs w:val="28"/>
    </w:rPr>
  </w:style>
  <w:style w:type="paragraph" w:customStyle="1" w:styleId="58">
    <w:name w:val="目录 21"/>
    <w:basedOn w:val="1"/>
    <w:next w:val="1"/>
    <w:qFormat/>
    <w:uiPriority w:val="0"/>
    <w:pPr>
      <w:spacing w:before="100" w:beforeAutospacing="1" w:after="100" w:afterAutospacing="1"/>
      <w:ind w:left="420" w:leftChars="200"/>
    </w:pPr>
  </w:style>
  <w:style w:type="paragraph" w:customStyle="1" w:styleId="59">
    <w:name w:val="null3"/>
    <w:qFormat/>
    <w:uiPriority w:val="0"/>
    <w:rPr>
      <w:rFonts w:hint="eastAsia" w:ascii="Calibri" w:hAnsi="Calibri" w:eastAsia="宋体" w:cs="Times New Roman"/>
      <w:lang w:val="en-US" w:eastAsia="zh-Hans" w:bidi="ar-SA"/>
    </w:rPr>
  </w:style>
  <w:style w:type="paragraph" w:styleId="60">
    <w:name w:val="List Paragraph"/>
    <w:basedOn w:val="1"/>
    <w:qFormat/>
    <w:uiPriority w:val="34"/>
    <w:pPr>
      <w:ind w:firstLine="420" w:firstLineChars="200"/>
    </w:pPr>
    <w:rPr>
      <w:rFonts w:ascii="Calibri" w:hAnsi="Calibri"/>
      <w:szCs w:val="22"/>
    </w:rPr>
  </w:style>
  <w:style w:type="paragraph" w:customStyle="1" w:styleId="61">
    <w:name w:val="列出段落1"/>
    <w:basedOn w:val="1"/>
    <w:qFormat/>
    <w:uiPriority w:val="99"/>
    <w:pPr>
      <w:ind w:firstLine="420" w:firstLineChars="200"/>
    </w:pPr>
    <w:rPr>
      <w:szCs w:val="21"/>
    </w:rPr>
  </w:style>
  <w:style w:type="paragraph" w:customStyle="1" w:styleId="62">
    <w:name w:val="正文文本_1"/>
    <w:qFormat/>
    <w:uiPriority w:val="0"/>
    <w:pPr>
      <w:widowControl w:val="0"/>
      <w:spacing w:after="120" w:line="276" w:lineRule="auto"/>
      <w:jc w:val="both"/>
    </w:pPr>
    <w:rPr>
      <w:rFonts w:ascii="Times New Roman" w:hAnsi="Times New Roman" w:eastAsia="宋体" w:cs="Times New Roman"/>
      <w:kern w:val="2"/>
      <w:sz w:val="21"/>
      <w:lang w:val="en-US" w:eastAsia="zh-CN" w:bidi="ar-SA"/>
    </w:rPr>
  </w:style>
  <w:style w:type="paragraph" w:customStyle="1" w:styleId="63">
    <w:name w:val="正文_1"/>
    <w:next w:val="1"/>
    <w:qFormat/>
    <w:uiPriority w:val="0"/>
    <w:rPr>
      <w:rFonts w:ascii="Times New Roman" w:hAnsi="Times New Roman" w:eastAsia="宋体" w:cs="Times New Roman"/>
      <w:sz w:val="21"/>
      <w:lang w:val="en-US" w:eastAsia="zh-CN" w:bidi="ar-SA"/>
    </w:rPr>
  </w:style>
  <w:style w:type="paragraph" w:customStyle="1" w:styleId="64">
    <w:name w:val="正文_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66">
    <w:name w:val="Table caption|1"/>
    <w:basedOn w:val="1"/>
    <w:qFormat/>
    <w:uiPriority w:val="0"/>
    <w:rPr>
      <w:rFonts w:hAnsi="宋体" w:cs="宋体"/>
      <w:sz w:val="18"/>
      <w:szCs w:val="18"/>
      <w:lang w:val="zh-TW" w:eastAsia="zh-TW" w:bidi="zh-TW"/>
    </w:rPr>
  </w:style>
  <w:style w:type="paragraph" w:customStyle="1" w:styleId="67">
    <w:name w:val="Other|1"/>
    <w:basedOn w:val="1"/>
    <w:qFormat/>
    <w:uiPriority w:val="0"/>
    <w:pPr>
      <w:spacing w:line="480" w:lineRule="auto"/>
    </w:pPr>
    <w:rPr>
      <w:rFonts w:hAnsi="宋体" w:cs="宋体"/>
      <w:sz w:val="22"/>
      <w:szCs w:val="22"/>
      <w:lang w:val="zh-TW" w:eastAsia="zh-TW" w:bidi="zh-TW"/>
    </w:rPr>
  </w:style>
  <w:style w:type="character" w:customStyle="1" w:styleId="68">
    <w:name w:val="font11"/>
    <w:qFormat/>
    <w:uiPriority w:val="0"/>
    <w:rPr>
      <w:rFonts w:hint="eastAsia" w:ascii="宋体" w:hAnsi="宋体" w:eastAsia="宋体" w:cs="宋体"/>
      <w:b/>
      <w:color w:val="000000"/>
      <w:sz w:val="28"/>
      <w:szCs w:val="28"/>
      <w:u w:val="single"/>
    </w:rPr>
  </w:style>
  <w:style w:type="character" w:customStyle="1" w:styleId="69">
    <w:name w:val="font41"/>
    <w:qFormat/>
    <w:uiPriority w:val="0"/>
    <w:rPr>
      <w:rFonts w:hint="eastAsia" w:ascii="宋体" w:hAnsi="宋体" w:eastAsia="宋体" w:cs="宋体"/>
      <w:b/>
      <w:color w:val="000000"/>
      <w:sz w:val="28"/>
      <w:szCs w:val="28"/>
      <w:u w:val="none"/>
    </w:rPr>
  </w:style>
  <w:style w:type="character" w:customStyle="1" w:styleId="70">
    <w:name w:val="font31"/>
    <w:qFormat/>
    <w:uiPriority w:val="0"/>
    <w:rPr>
      <w:rFonts w:hint="eastAsia" w:ascii="宋体" w:hAnsi="宋体" w:eastAsia="宋体" w:cs="宋体"/>
      <w:b/>
      <w:color w:val="000000"/>
      <w:sz w:val="24"/>
      <w:szCs w:val="24"/>
      <w:u w:val="none"/>
    </w:rPr>
  </w:style>
  <w:style w:type="character" w:customStyle="1" w:styleId="71">
    <w:name w:val="font01"/>
    <w:qFormat/>
    <w:uiPriority w:val="0"/>
    <w:rPr>
      <w:rFonts w:hint="eastAsia" w:ascii="宋体" w:hAnsi="宋体" w:eastAsia="宋体" w:cs="宋体"/>
      <w:b/>
      <w:color w:val="000000"/>
      <w:sz w:val="24"/>
      <w:szCs w:val="24"/>
      <w:u w:val="single"/>
    </w:rPr>
  </w:style>
  <w:style w:type="paragraph" w:customStyle="1" w:styleId="72">
    <w:name w:val="页眉1"/>
    <w:basedOn w:val="1"/>
    <w:qFormat/>
    <w:uiPriority w:val="0"/>
    <w:pPr>
      <w:pBdr>
        <w:bottom w:val="single" w:color="auto" w:sz="6" w:space="1"/>
      </w:pBdr>
      <w:tabs>
        <w:tab w:val="center" w:pos="4153"/>
        <w:tab w:val="right" w:pos="8306"/>
      </w:tabs>
      <w:snapToGrid w:val="0"/>
      <w:jc w:val="center"/>
    </w:pPr>
    <w:rPr>
      <w:sz w:val="18"/>
      <w:szCs w:val="18"/>
    </w:rPr>
  </w:style>
  <w:style w:type="paragraph" w:styleId="73">
    <w:name w:val="No Spacing"/>
    <w:qFormat/>
    <w:uiPriority w:val="1"/>
    <w:pPr>
      <w:widowControl w:val="0"/>
      <w:jc w:val="both"/>
    </w:pPr>
    <w:rPr>
      <w:rFonts w:ascii="宋体" w:hAnsi="新宋体" w:eastAsia="宋体" w:cs="Times New Roman"/>
      <w:kern w:val="2"/>
      <w:sz w:val="28"/>
      <w:szCs w:val="24"/>
      <w:lang w:val="en-US" w:eastAsia="zh-CN" w:bidi="ar-SA"/>
    </w:rPr>
  </w:style>
  <w:style w:type="paragraph" w:customStyle="1" w:styleId="74">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表格文字"/>
    <w:basedOn w:val="1"/>
    <w:qFormat/>
    <w:uiPriority w:val="0"/>
    <w:pPr>
      <w:spacing w:before="25" w:after="25"/>
      <w:jc w:val="left"/>
    </w:pPr>
    <w:rPr>
      <w:bCs/>
      <w:spacing w:val="10"/>
      <w:kern w:val="0"/>
      <w:sz w:val="24"/>
      <w:szCs w:val="20"/>
    </w:rPr>
  </w:style>
  <w:style w:type="paragraph" w:customStyle="1" w:styleId="76">
    <w:name w:val="无间隔1"/>
    <w:qFormat/>
    <w:uiPriority w:val="1"/>
    <w:pPr>
      <w:adjustRightInd w:val="0"/>
      <w:snapToGrid w:val="0"/>
    </w:pPr>
    <w:rPr>
      <w:rFonts w:ascii="Tahoma" w:hAnsi="Tahoma" w:eastAsia="微软雅黑" w:cs="宋体"/>
      <w:sz w:val="22"/>
      <w:szCs w:val="22"/>
      <w:lang w:val="en-US" w:eastAsia="zh-CN" w:bidi="ar-SA"/>
    </w:rPr>
  </w:style>
  <w:style w:type="paragraph" w:customStyle="1" w:styleId="7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8">
    <w:name w:val="p141"/>
    <w:qFormat/>
    <w:uiPriority w:val="0"/>
    <w:rPr>
      <w:sz w:val="21"/>
      <w:szCs w:val="21"/>
    </w:rPr>
  </w:style>
  <w:style w:type="paragraph" w:customStyle="1" w:styleId="79">
    <w:name w:val="强调标题"/>
    <w:next w:val="1"/>
    <w:qFormat/>
    <w:uiPriority w:val="0"/>
    <w:pPr>
      <w:spacing w:before="240" w:after="120" w:line="360" w:lineRule="auto"/>
      <w:ind w:firstLine="600" w:firstLineChars="200"/>
      <w:outlineLvl w:val="0"/>
    </w:pPr>
    <w:rPr>
      <w:rFonts w:ascii="Times New Roman" w:hAnsi="Times New Roman" w:eastAsia="宋体" w:cs="Times New Roman"/>
      <w:b/>
      <w:sz w:val="24"/>
      <w:lang w:val="en-US" w:eastAsia="zh-CN" w:bidi="ar-SA"/>
    </w:rPr>
  </w:style>
  <w:style w:type="table" w:customStyle="1" w:styleId="80">
    <w:name w:val="Table Normal"/>
    <w:unhideWhenUsed/>
    <w:qFormat/>
    <w:uiPriority w:val="0"/>
    <w:tblPr>
      <w:tblCellMar>
        <w:top w:w="0" w:type="dxa"/>
        <w:left w:w="0" w:type="dxa"/>
        <w:bottom w:w="0" w:type="dxa"/>
        <w:right w:w="0" w:type="dxa"/>
      </w:tblCellMar>
    </w:tblPr>
  </w:style>
  <w:style w:type="paragraph" w:customStyle="1" w:styleId="81">
    <w:name w:val="Blockquote"/>
    <w:basedOn w:val="1"/>
    <w:qFormat/>
    <w:uiPriority w:val="99"/>
    <w:pPr>
      <w:autoSpaceDE w:val="0"/>
      <w:autoSpaceDN w:val="0"/>
      <w:adjustRightInd w:val="0"/>
      <w:spacing w:before="100" w:after="100"/>
      <w:ind w:left="360" w:right="360"/>
      <w:jc w:val="left"/>
    </w:pPr>
  </w:style>
  <w:style w:type="paragraph" w:customStyle="1" w:styleId="82">
    <w:name w:val="附录标题"/>
    <w:next w:val="1"/>
    <w:qFormat/>
    <w:uiPriority w:val="0"/>
    <w:pPr>
      <w:widowControl w:val="0"/>
      <w:spacing w:before="240" w:after="120" w:line="360" w:lineRule="auto"/>
      <w:outlineLvl w:val="0"/>
    </w:pPr>
    <w:rPr>
      <w:rFonts w:ascii="Times New Roman" w:hAnsi="Times New Roman" w:eastAsia="宋体" w:cs="Times New Roman"/>
      <w:b/>
      <w:sz w:val="24"/>
      <w:lang w:val="en-US" w:eastAsia="zh-CN" w:bidi="ar-SA"/>
    </w:rPr>
  </w:style>
  <w:style w:type="paragraph" w:customStyle="1" w:styleId="83">
    <w:name w:val="正文缩进2格"/>
    <w:basedOn w:val="1"/>
    <w:qFormat/>
    <w:uiPriority w:val="0"/>
    <w:pPr>
      <w:spacing w:line="600" w:lineRule="exact"/>
      <w:ind w:firstLine="639" w:firstLineChars="206"/>
    </w:pPr>
    <w:rPr>
      <w:rFonts w:ascii="仿宋_GB2312" w:hAnsi="宋体" w:eastAsia="仿宋_GB2312"/>
      <w:sz w:val="31"/>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采购中心</Company>
  <Pages>53</Pages>
  <Words>3881</Words>
  <Characters>4356</Characters>
  <Lines>1043</Lines>
  <Paragraphs>966</Paragraphs>
  <TotalTime>0</TotalTime>
  <ScaleCrop>false</ScaleCrop>
  <LinksUpToDate>false</LinksUpToDate>
  <CharactersWithSpaces>4551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2026-09-01T03:10:00Z</dcterms:created>
  <dc:creator>采购招投标</dc:creator>
  <cp:lastModifiedBy>Yim</cp:lastModifiedBy>
  <cp:lastPrinted>2025-07-18T08:54:00Z</cp:lastPrinted>
  <dcterms:modified xsi:type="dcterms:W3CDTF">2026-09-09T02:04:14Z</dcterms:modified>
  <dc:title>商洛市行政事业单位政府采购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6EDB0D93D0E64BE49EF86332CE762031_13</vt:lpwstr>
  </property>
  <property fmtid="{D5CDD505-2E9C-101B-9397-08002B2CF9AE}" pid="4" name="KSOTemplateDocerSaveRecord">
    <vt:lpwstr>eyJoZGlkIjoiYjJiZmM1M2M4ZDY2ZWEwNGMyZjIxOTZlOTkyN2I0ODUiLCJ1c2VySWQiOiI0MTk2MjQ0NzAifQ==</vt:lpwstr>
  </property>
</Properties>
</file>