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FA4B11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6555C61A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5516F179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7288F34F">
      <w:pPr>
        <w:jc w:val="center"/>
        <w:rPr>
          <w:rFonts w:hint="eastAsia" w:ascii="黑体" w:hAnsi="黑体" w:eastAsia="黑体"/>
          <w:b/>
          <w:sz w:val="52"/>
          <w:szCs w:val="52"/>
        </w:rPr>
      </w:pPr>
    </w:p>
    <w:p w14:paraId="336D3ACC">
      <w:pPr>
        <w:jc w:val="center"/>
        <w:rPr>
          <w:rFonts w:ascii="黑体" w:hAnsi="黑体" w:eastAsia="黑体"/>
          <w:b/>
          <w:sz w:val="52"/>
          <w:szCs w:val="52"/>
        </w:rPr>
      </w:pPr>
      <w:r>
        <w:rPr>
          <w:rFonts w:hint="eastAsia" w:ascii="黑体" w:hAnsi="黑体" w:eastAsia="黑体"/>
          <w:b/>
          <w:sz w:val="52"/>
          <w:szCs w:val="52"/>
          <w:lang w:val="en-US" w:eastAsia="zh-CN"/>
        </w:rPr>
        <w:t>幼儿园新增</w:t>
      </w:r>
      <w:r>
        <w:rPr>
          <w:rFonts w:hint="eastAsia" w:ascii="黑体" w:hAnsi="黑体" w:eastAsia="黑体"/>
          <w:b/>
          <w:sz w:val="52"/>
          <w:szCs w:val="52"/>
        </w:rPr>
        <w:t>视频监控需求书</w:t>
      </w:r>
    </w:p>
    <w:p w14:paraId="01A2F8F6">
      <w:pPr>
        <w:jc w:val="center"/>
        <w:rPr>
          <w:rFonts w:ascii="黑体" w:hAnsi="黑体" w:eastAsia="黑体"/>
          <w:sz w:val="36"/>
          <w:szCs w:val="32"/>
        </w:rPr>
      </w:pPr>
    </w:p>
    <w:p w14:paraId="7382F92E">
      <w:pPr>
        <w:jc w:val="center"/>
        <w:rPr>
          <w:rFonts w:ascii="黑体" w:hAnsi="黑体" w:eastAsia="黑体"/>
          <w:sz w:val="36"/>
          <w:szCs w:val="32"/>
        </w:rPr>
      </w:pPr>
    </w:p>
    <w:p w14:paraId="420F3C82">
      <w:pPr>
        <w:jc w:val="center"/>
        <w:rPr>
          <w:rFonts w:ascii="黑体" w:hAnsi="黑体" w:eastAsia="黑体"/>
          <w:sz w:val="36"/>
          <w:szCs w:val="32"/>
        </w:rPr>
      </w:pPr>
    </w:p>
    <w:p w14:paraId="3FAD63D7">
      <w:pPr>
        <w:jc w:val="center"/>
        <w:rPr>
          <w:rFonts w:ascii="黑体" w:hAnsi="黑体" w:eastAsia="黑体"/>
          <w:sz w:val="36"/>
          <w:szCs w:val="32"/>
        </w:rPr>
      </w:pPr>
    </w:p>
    <w:p w14:paraId="52AE6C6E">
      <w:pPr>
        <w:jc w:val="center"/>
        <w:rPr>
          <w:rFonts w:ascii="黑体" w:hAnsi="黑体" w:eastAsia="黑体"/>
          <w:sz w:val="36"/>
          <w:szCs w:val="32"/>
        </w:rPr>
      </w:pPr>
    </w:p>
    <w:p w14:paraId="749FB6B0">
      <w:pPr>
        <w:jc w:val="center"/>
        <w:rPr>
          <w:rFonts w:ascii="黑体" w:hAnsi="黑体" w:eastAsia="黑体"/>
          <w:sz w:val="36"/>
          <w:szCs w:val="32"/>
        </w:rPr>
      </w:pPr>
    </w:p>
    <w:p w14:paraId="77538EB8">
      <w:pPr>
        <w:jc w:val="center"/>
        <w:rPr>
          <w:rFonts w:ascii="黑体" w:hAnsi="黑体" w:eastAsia="黑体"/>
          <w:sz w:val="36"/>
          <w:szCs w:val="32"/>
        </w:rPr>
      </w:pPr>
    </w:p>
    <w:p w14:paraId="166B5ACF">
      <w:pPr>
        <w:jc w:val="center"/>
        <w:rPr>
          <w:rFonts w:ascii="黑体" w:hAnsi="黑体" w:eastAsia="黑体"/>
          <w:sz w:val="36"/>
          <w:szCs w:val="32"/>
        </w:rPr>
      </w:pPr>
    </w:p>
    <w:p w14:paraId="73B3C281">
      <w:pPr>
        <w:jc w:val="center"/>
        <w:rPr>
          <w:rFonts w:ascii="黑体" w:hAnsi="黑体" w:eastAsia="黑体"/>
          <w:sz w:val="36"/>
          <w:szCs w:val="32"/>
        </w:rPr>
      </w:pPr>
      <w:r>
        <w:rPr>
          <w:rFonts w:hint="eastAsia" w:ascii="黑体" w:hAnsi="黑体" w:eastAsia="黑体"/>
          <w:sz w:val="36"/>
          <w:szCs w:val="32"/>
        </w:rPr>
        <w:t>202</w:t>
      </w:r>
      <w:r>
        <w:rPr>
          <w:rFonts w:hint="eastAsia" w:ascii="黑体" w:hAnsi="黑体" w:eastAsia="黑体"/>
          <w:sz w:val="36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2"/>
        </w:rPr>
        <w:t>年</w:t>
      </w:r>
      <w:r>
        <w:rPr>
          <w:rFonts w:hint="eastAsia" w:ascii="黑体" w:hAnsi="黑体" w:eastAsia="黑体"/>
          <w:sz w:val="36"/>
          <w:szCs w:val="32"/>
          <w:lang w:val="en-US" w:eastAsia="zh-CN"/>
        </w:rPr>
        <w:t>9</w:t>
      </w:r>
      <w:r>
        <w:rPr>
          <w:rFonts w:hint="eastAsia" w:ascii="黑体" w:hAnsi="黑体" w:eastAsia="黑体"/>
          <w:sz w:val="36"/>
          <w:szCs w:val="32"/>
        </w:rPr>
        <w:t>月</w:t>
      </w:r>
    </w:p>
    <w:p w14:paraId="2EEA9003">
      <w:pPr>
        <w:spacing w:line="360" w:lineRule="auto"/>
        <w:rPr>
          <w:rFonts w:ascii="宋体" w:hAnsi="宋体"/>
          <w:sz w:val="24"/>
          <w:szCs w:val="24"/>
        </w:rPr>
      </w:pPr>
    </w:p>
    <w:p w14:paraId="125F9B76">
      <w:pPr>
        <w:spacing w:line="360" w:lineRule="auto"/>
        <w:rPr>
          <w:rFonts w:ascii="宋体" w:hAnsi="宋体"/>
          <w:sz w:val="24"/>
          <w:szCs w:val="24"/>
        </w:rPr>
      </w:pPr>
    </w:p>
    <w:p w14:paraId="28482C53">
      <w:pPr>
        <w:spacing w:line="360" w:lineRule="auto"/>
        <w:rPr>
          <w:rFonts w:ascii="宋体" w:hAnsi="宋体"/>
          <w:sz w:val="24"/>
          <w:szCs w:val="24"/>
        </w:rPr>
      </w:pPr>
    </w:p>
    <w:p w14:paraId="051EDC32">
      <w:pPr>
        <w:spacing w:line="360" w:lineRule="auto"/>
        <w:rPr>
          <w:rFonts w:ascii="宋体" w:hAnsi="宋体"/>
          <w:sz w:val="24"/>
          <w:szCs w:val="24"/>
        </w:rPr>
      </w:pPr>
    </w:p>
    <w:p w14:paraId="7B0C95D6">
      <w:pPr>
        <w:spacing w:line="360" w:lineRule="auto"/>
        <w:rPr>
          <w:rFonts w:ascii="宋体" w:hAnsi="宋体"/>
          <w:sz w:val="24"/>
          <w:szCs w:val="24"/>
        </w:rPr>
      </w:pPr>
    </w:p>
    <w:p w14:paraId="60F4874C">
      <w:pPr>
        <w:jc w:val="center"/>
        <w:rPr>
          <w:rFonts w:ascii="宋体" w:hAnsi="宋体"/>
          <w:b/>
          <w:sz w:val="36"/>
          <w:szCs w:val="36"/>
        </w:rPr>
      </w:pPr>
    </w:p>
    <w:p w14:paraId="232B0A10">
      <w:pPr>
        <w:jc w:val="center"/>
        <w:rPr>
          <w:rFonts w:ascii="宋体" w:hAnsi="宋体"/>
          <w:b/>
          <w:sz w:val="36"/>
          <w:szCs w:val="36"/>
        </w:rPr>
      </w:pPr>
    </w:p>
    <w:p w14:paraId="0782D838"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幼儿园新增</w:t>
      </w:r>
      <w:r>
        <w:rPr>
          <w:rFonts w:hint="eastAsia" w:ascii="宋体" w:hAnsi="宋体"/>
          <w:b/>
          <w:sz w:val="36"/>
          <w:szCs w:val="36"/>
        </w:rPr>
        <w:t>视频监控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系统</w:t>
      </w:r>
      <w:r>
        <w:rPr>
          <w:rFonts w:hint="eastAsia" w:ascii="宋体" w:hAnsi="宋体"/>
          <w:b/>
          <w:sz w:val="36"/>
          <w:szCs w:val="36"/>
        </w:rPr>
        <w:t>需求书</w:t>
      </w:r>
    </w:p>
    <w:p w14:paraId="711B0E3E">
      <w:pPr>
        <w:pStyle w:val="2"/>
        <w:spacing w:after="100" w:afterAutospacing="1" w:line="360" w:lineRule="auto"/>
        <w:ind w:right="178" w:rightChars="85"/>
        <w:rPr>
          <w:rFonts w:eastAsia="宋体"/>
          <w:color w:val="000000"/>
        </w:rPr>
      </w:pPr>
      <w:r>
        <w:rPr>
          <w:rFonts w:hint="eastAsia" w:eastAsia="宋体"/>
          <w:color w:val="000000"/>
        </w:rPr>
        <w:t>一、概述</w:t>
      </w:r>
    </w:p>
    <w:p w14:paraId="6E25C633">
      <w:pPr>
        <w:spacing w:line="360" w:lineRule="auto"/>
        <w:ind w:firstLine="420" w:firstLineChars="200"/>
        <w:rPr>
          <w:rFonts w:ascii="宋体" w:hAnsi="宋体"/>
          <w:b/>
        </w:rPr>
      </w:pPr>
      <w:r>
        <w:rPr>
          <w:rFonts w:hint="eastAsia"/>
          <w:lang w:val="en-US" w:eastAsia="zh-CN"/>
        </w:rPr>
        <w:t>为加强幼儿园的</w:t>
      </w:r>
      <w:r>
        <w:rPr>
          <w:rFonts w:hint="eastAsia"/>
        </w:rPr>
        <w:t>安防管理能力，切实保障在园师幼安全，新增</w:t>
      </w:r>
      <w:r>
        <w:rPr>
          <w:rFonts w:hint="eastAsia"/>
          <w:lang w:val="en-US" w:eastAsia="zh-CN"/>
        </w:rPr>
        <w:t>视屏</w:t>
      </w:r>
      <w:r>
        <w:rPr>
          <w:rFonts w:hint="eastAsia"/>
        </w:rPr>
        <w:t>监控</w:t>
      </w:r>
      <w:r>
        <w:rPr>
          <w:rFonts w:hint="eastAsia"/>
          <w:lang w:val="en-US" w:eastAsia="zh-CN"/>
        </w:rPr>
        <w:t>系统</w:t>
      </w:r>
      <w:r>
        <w:rPr>
          <w:rFonts w:hint="eastAsia"/>
        </w:rPr>
        <w:t>。</w:t>
      </w:r>
    </w:p>
    <w:p w14:paraId="06F53ADB">
      <w:pPr>
        <w:pStyle w:val="2"/>
        <w:spacing w:after="100" w:afterAutospacing="1" w:line="360" w:lineRule="auto"/>
        <w:ind w:right="178" w:rightChars="85"/>
        <w:rPr>
          <w:rFonts w:eastAsia="宋体"/>
          <w:color w:val="000000"/>
        </w:rPr>
      </w:pPr>
      <w:bookmarkStart w:id="0" w:name="_Toc451464429"/>
      <w:bookmarkStart w:id="1" w:name="_Toc433646642"/>
      <w:bookmarkStart w:id="2" w:name="_Toc445910011"/>
      <w:r>
        <w:rPr>
          <w:rFonts w:hint="eastAsia" w:eastAsia="宋体"/>
          <w:color w:val="000000"/>
        </w:rPr>
        <w:t>二、</w:t>
      </w:r>
      <w:bookmarkEnd w:id="0"/>
      <w:bookmarkEnd w:id="1"/>
      <w:bookmarkEnd w:id="2"/>
      <w:r>
        <w:rPr>
          <w:rFonts w:hint="eastAsia" w:eastAsia="宋体"/>
          <w:color w:val="000000"/>
        </w:rPr>
        <w:t>总体要求</w:t>
      </w:r>
    </w:p>
    <w:p w14:paraId="6AFC3E7F">
      <w:pPr>
        <w:spacing w:line="360" w:lineRule="auto"/>
        <w:ind w:firstLine="403" w:firstLineChars="192"/>
        <w:rPr>
          <w:rFonts w:ascii="宋体" w:hAnsi="宋体"/>
        </w:rPr>
      </w:pPr>
      <w:r>
        <w:rPr>
          <w:rFonts w:hint="eastAsia" w:ascii="宋体" w:hAnsi="宋体"/>
        </w:rPr>
        <w:t>投标人报价包括完成本项目的成本、利润、运费、税金等全部费用，</w:t>
      </w:r>
      <w:r>
        <w:rPr>
          <w:rFonts w:hint="eastAsia" w:ascii="宋体" w:hAnsi="宋体" w:cs="Times New Roman"/>
        </w:rPr>
        <w:t>所提供的设备及材料必须是</w:t>
      </w:r>
      <w:r>
        <w:rPr>
          <w:rFonts w:hint="eastAsia" w:ascii="宋体" w:hAnsi="宋体"/>
        </w:rPr>
        <w:t>全新的、可正常使用的合格产品</w:t>
      </w:r>
      <w:r>
        <w:rPr>
          <w:rFonts w:hint="eastAsia" w:ascii="宋体" w:hAnsi="宋体" w:cs="Times New Roman"/>
        </w:rPr>
        <w:t>，产品质量必须符合中华人民共和国国家</w:t>
      </w:r>
      <w:r>
        <w:rPr>
          <w:rFonts w:hint="eastAsia" w:ascii="宋体" w:hAnsi="宋体"/>
        </w:rPr>
        <w:t>标准或行业标准。对于招标文件没有列出，而对该设备的正常运行和维护必不可少的部件、配件等，投标人有责任给予补充。</w:t>
      </w:r>
    </w:p>
    <w:p w14:paraId="263268F7">
      <w:pPr>
        <w:spacing w:line="360" w:lineRule="auto"/>
        <w:ind w:firstLine="403" w:firstLineChars="192"/>
        <w:rPr>
          <w:rFonts w:ascii="宋体" w:hAnsi="宋体"/>
        </w:rPr>
      </w:pPr>
      <w:r>
        <w:rPr>
          <w:rFonts w:hint="eastAsia" w:ascii="宋体" w:hAnsi="宋体"/>
          <w:color w:val="000000"/>
        </w:rPr>
        <w:t>所有产品均需提供</w:t>
      </w:r>
      <w:r>
        <w:rPr>
          <w:rFonts w:hint="eastAsia" w:ascii="宋体" w:hAnsi="宋体"/>
        </w:rPr>
        <w:t>三</w:t>
      </w:r>
      <w:r>
        <w:rPr>
          <w:rFonts w:hint="eastAsia" w:ascii="宋体" w:hAnsi="宋体"/>
          <w:color w:val="000000"/>
        </w:rPr>
        <w:t>年保修期和原厂免费上门保修服务，</w:t>
      </w:r>
      <w:r>
        <w:rPr>
          <w:rFonts w:hint="eastAsia" w:ascii="宋体" w:hAnsi="宋体"/>
        </w:rPr>
        <w:t>保修期内，所有设备设施及其配件免费，维修期限为</w:t>
      </w:r>
      <w:r>
        <w:rPr>
          <w:rFonts w:hint="eastAsia" w:ascii="宋体" w:hAnsi="宋体"/>
          <w:lang w:val="en-US" w:eastAsia="zh-CN"/>
        </w:rPr>
        <w:t>一</w:t>
      </w:r>
      <w:r>
        <w:rPr>
          <w:rFonts w:hint="eastAsia" w:ascii="宋体" w:hAnsi="宋体"/>
        </w:rPr>
        <w:t>年,（三个月内有质量问题）包换、（一个星期内有质量问题）包退。</w:t>
      </w:r>
    </w:p>
    <w:p w14:paraId="45C66E0C">
      <w:pPr>
        <w:spacing w:line="360" w:lineRule="auto"/>
        <w:ind w:firstLine="403" w:firstLineChars="192"/>
        <w:rPr>
          <w:rFonts w:ascii="宋体" w:hAnsi="宋体"/>
          <w:color w:val="000000"/>
        </w:rPr>
      </w:pPr>
      <w:r>
        <w:rPr>
          <w:rFonts w:hint="eastAsia" w:ascii="宋体" w:hAnsi="宋体"/>
        </w:rPr>
        <w:t>工期要求为</w:t>
      </w:r>
      <w:r>
        <w:rPr>
          <w:rFonts w:hint="eastAsia" w:ascii="宋体" w:hAnsi="宋体"/>
          <w:lang w:val="en-US" w:eastAsia="zh-CN"/>
        </w:rPr>
        <w:t>7</w:t>
      </w:r>
      <w:r>
        <w:rPr>
          <w:rFonts w:hint="eastAsia" w:ascii="宋体" w:hAnsi="宋体"/>
        </w:rPr>
        <w:t>天（日历天），</w:t>
      </w:r>
      <w:r>
        <w:rPr>
          <w:rFonts w:hint="eastAsia" w:ascii="宋体" w:hAnsi="宋体"/>
          <w:color w:val="000000"/>
        </w:rPr>
        <w:t>工程完成后一次性结算</w:t>
      </w:r>
      <w:r>
        <w:rPr>
          <w:rFonts w:hint="eastAsia" w:ascii="宋体" w:hAnsi="宋体"/>
        </w:rPr>
        <w:t>付款</w:t>
      </w:r>
      <w:r>
        <w:rPr>
          <w:rFonts w:hint="eastAsia" w:ascii="宋体" w:hAnsi="宋体"/>
          <w:color w:val="000000"/>
        </w:rPr>
        <w:t>。</w:t>
      </w:r>
    </w:p>
    <w:p w14:paraId="0984890F">
      <w:pPr>
        <w:pStyle w:val="2"/>
        <w:spacing w:after="100" w:afterAutospacing="1" w:line="360" w:lineRule="auto"/>
        <w:ind w:right="178" w:rightChars="85"/>
        <w:rPr>
          <w:rFonts w:eastAsia="宋体"/>
          <w:color w:val="000000"/>
        </w:rPr>
      </w:pPr>
      <w:bookmarkStart w:id="3" w:name="_Toc451464433"/>
      <w:r>
        <w:rPr>
          <w:rFonts w:hint="eastAsia" w:eastAsia="宋体"/>
          <w:color w:val="000000"/>
        </w:rPr>
        <w:t>三、</w:t>
      </w:r>
      <w:bookmarkEnd w:id="3"/>
      <w:r>
        <w:rPr>
          <w:rFonts w:hint="eastAsia" w:eastAsia="宋体"/>
          <w:color w:val="000000"/>
          <w:sz w:val="21"/>
          <w:szCs w:val="21"/>
        </w:rPr>
        <w:t>质量标准</w:t>
      </w:r>
    </w:p>
    <w:p w14:paraId="0D227A7D">
      <w:pPr>
        <w:tabs>
          <w:tab w:val="left" w:pos="735"/>
        </w:tabs>
        <w:spacing w:line="360" w:lineRule="auto"/>
        <w:ind w:right="178" w:rightChars="85" w:firstLine="420" w:firstLineChars="200"/>
        <w:rPr>
          <w:rFonts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>质量标准：合格工程。</w:t>
      </w:r>
    </w:p>
    <w:p w14:paraId="40597251">
      <w:pPr>
        <w:tabs>
          <w:tab w:val="left" w:pos="735"/>
        </w:tabs>
        <w:spacing w:line="360" w:lineRule="auto"/>
        <w:ind w:right="178" w:rightChars="85" w:firstLine="420" w:firstLineChars="200"/>
        <w:rPr>
          <w:rFonts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>设计要求：</w:t>
      </w:r>
    </w:p>
    <w:p w14:paraId="1FFB0091">
      <w:pPr>
        <w:pStyle w:val="6"/>
        <w:ind w:firstLine="420"/>
        <w:rPr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-</w:t>
      </w:r>
      <w:r>
        <w:rPr>
          <w:sz w:val="21"/>
          <w:szCs w:val="21"/>
        </w:rPr>
        <w:t>《中华人民共和国民法典》</w:t>
      </w:r>
    </w:p>
    <w:p w14:paraId="65769819">
      <w:pPr>
        <w:pStyle w:val="6"/>
        <w:ind w:firstLine="420"/>
        <w:rPr>
          <w:sz w:val="21"/>
          <w:szCs w:val="21"/>
        </w:rPr>
      </w:pPr>
      <w:r>
        <w:rPr>
          <w:color w:val="000000"/>
          <w:sz w:val="21"/>
          <w:szCs w:val="21"/>
        </w:rPr>
        <w:t>-</w:t>
      </w:r>
      <w:r>
        <w:rPr>
          <w:rFonts w:hint="eastAsia"/>
          <w:sz w:val="21"/>
          <w:szCs w:val="21"/>
        </w:rPr>
        <w:t>《公共安全视频监控联网系统信息传输、交换、控制技术要求》（GB/T 28181-2016）</w:t>
      </w:r>
    </w:p>
    <w:p w14:paraId="578F422C">
      <w:pPr>
        <w:pStyle w:val="6"/>
        <w:ind w:firstLine="420"/>
        <w:rPr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-</w:t>
      </w:r>
      <w:r>
        <w:rPr>
          <w:rFonts w:hint="eastAsia"/>
          <w:sz w:val="21"/>
          <w:szCs w:val="21"/>
        </w:rPr>
        <w:t>《医院安全技术防范系统要求》（GB/T 31458-2015）</w:t>
      </w:r>
    </w:p>
    <w:p w14:paraId="3F2A0672">
      <w:pPr>
        <w:pStyle w:val="6"/>
        <w:ind w:firstLine="420"/>
        <w:rPr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-</w:t>
      </w:r>
      <w:r>
        <w:rPr>
          <w:rFonts w:hint="eastAsia"/>
          <w:sz w:val="21"/>
          <w:szCs w:val="21"/>
        </w:rPr>
        <w:t>《入侵报警系统工程设计规范》（GB50394-2007）</w:t>
      </w:r>
    </w:p>
    <w:p w14:paraId="79CB4FCB">
      <w:pPr>
        <w:pStyle w:val="6"/>
        <w:ind w:firstLine="420"/>
        <w:rPr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-</w:t>
      </w:r>
      <w:r>
        <w:rPr>
          <w:rFonts w:hint="eastAsia"/>
          <w:sz w:val="21"/>
          <w:szCs w:val="21"/>
        </w:rPr>
        <w:t>《视频安防监控系统工程设计规范》（GB 50395-2007）</w:t>
      </w:r>
    </w:p>
    <w:p w14:paraId="199EF78F">
      <w:pPr>
        <w:pStyle w:val="6"/>
        <w:ind w:firstLine="420"/>
        <w:rPr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-</w:t>
      </w:r>
      <w:r>
        <w:rPr>
          <w:rFonts w:hint="eastAsia"/>
          <w:sz w:val="21"/>
          <w:szCs w:val="21"/>
        </w:rPr>
        <w:t>《IP网络技术要求一网络性能参数与指标》（YD/T1171-2001）</w:t>
      </w:r>
    </w:p>
    <w:p w14:paraId="48F0E5AD">
      <w:pPr>
        <w:pStyle w:val="6"/>
        <w:ind w:firstLine="420"/>
        <w:rPr>
          <w:sz w:val="21"/>
          <w:szCs w:val="21"/>
        </w:rPr>
      </w:pPr>
      <w:r>
        <w:rPr>
          <w:rFonts w:hint="eastAsia"/>
          <w:color w:val="000000"/>
          <w:sz w:val="21"/>
          <w:szCs w:val="21"/>
        </w:rPr>
        <w:t>-</w:t>
      </w:r>
      <w:r>
        <w:rPr>
          <w:rFonts w:hint="eastAsia"/>
          <w:sz w:val="21"/>
          <w:szCs w:val="21"/>
        </w:rPr>
        <w:t>《安全防范系统雷电浪涌防护技术要求》（GA/T 670-2006）</w:t>
      </w:r>
    </w:p>
    <w:p w14:paraId="51FB1C91">
      <w:pPr>
        <w:spacing w:line="360" w:lineRule="auto"/>
        <w:ind w:right="178" w:rightChars="85" w:firstLine="424" w:firstLineChars="202"/>
        <w:rPr>
          <w:rFonts w:ascii="宋体" w:hAnsi="宋体"/>
          <w:color w:val="000000"/>
          <w:lang w:eastAsia="en-US"/>
        </w:rPr>
      </w:pPr>
      <w:r>
        <w:rPr>
          <w:rFonts w:hint="eastAsia" w:ascii="宋体" w:hAnsi="宋体"/>
          <w:color w:val="000000"/>
          <w:lang w:eastAsia="en-US"/>
        </w:rPr>
        <w:t>-《安全防范工程程序和要求》（GA/T75-94）</w:t>
      </w:r>
    </w:p>
    <w:p w14:paraId="2EF543F5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-《安全防范系统通用图形符号》（GA/74-94）</w:t>
      </w:r>
    </w:p>
    <w:p w14:paraId="78307171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-《视频安全监控系统技术要求》（GA/T367-2001）</w:t>
      </w:r>
    </w:p>
    <w:p w14:paraId="770EE865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-《城市报警与监控系统建设指导性技术文件》</w:t>
      </w:r>
    </w:p>
    <w:p w14:paraId="2C52B90D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-《城市报警监控系统建设方案设计要素》</w:t>
      </w:r>
    </w:p>
    <w:p w14:paraId="22B43F2E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-《民用闭路监视电视系统工程技术规范》（GB50198-94）</w:t>
      </w:r>
    </w:p>
    <w:p w14:paraId="6EEFDB59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-《工业电视系统工程设计规范》GBJ115-87</w:t>
      </w:r>
    </w:p>
    <w:p w14:paraId="627E1B5E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-《无屏蔽双绞线系统现场测试传输性能规范》（EIA/TIATSB67）</w:t>
      </w:r>
    </w:p>
    <w:p w14:paraId="5F34D5D8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-《安全防范工程技术规范》（GB50348-2004）</w:t>
      </w:r>
    </w:p>
    <w:p w14:paraId="55FCB9E2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-《计算机信息网络国际互联网管理规定》</w:t>
      </w:r>
    </w:p>
    <w:p w14:paraId="3DA2C74D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-《系统接地的形式及安全技术要求》</w:t>
      </w:r>
    </w:p>
    <w:p w14:paraId="2F8E5F30">
      <w:pPr>
        <w:spacing w:line="360" w:lineRule="auto"/>
        <w:ind w:right="178" w:rightChars="85" w:firstLine="424" w:firstLineChars="202"/>
        <w:rPr>
          <w:rFonts w:ascii="宋体" w:hAnsi="宋体"/>
          <w:color w:val="000000"/>
        </w:rPr>
      </w:pPr>
      <w:r>
        <w:rPr>
          <w:rFonts w:hint="eastAsia" w:ascii="宋体" w:hAnsi="宋体"/>
          <w:color w:val="000000"/>
        </w:rPr>
        <w:t>-《计算机网络规范》（100BASE-T）</w:t>
      </w:r>
    </w:p>
    <w:p w14:paraId="15365CDC">
      <w:pPr>
        <w:pStyle w:val="2"/>
        <w:spacing w:after="100" w:afterAutospacing="1" w:line="360" w:lineRule="auto"/>
        <w:ind w:right="178" w:rightChars="85"/>
        <w:rPr>
          <w:rFonts w:eastAsia="宋体"/>
          <w:color w:val="000000"/>
        </w:rPr>
      </w:pPr>
      <w:r>
        <w:rPr>
          <w:rFonts w:hint="eastAsia" w:eastAsia="宋体"/>
          <w:color w:val="000000"/>
        </w:rPr>
        <w:t>四、建设范围及技术要求</w:t>
      </w:r>
    </w:p>
    <w:p w14:paraId="43AB24F6">
      <w:pPr>
        <w:pStyle w:val="3"/>
        <w:spacing w:line="360" w:lineRule="auto"/>
        <w:ind w:right="178" w:rightChars="85"/>
        <w:rPr>
          <w:color w:val="000000"/>
          <w:sz w:val="21"/>
          <w:szCs w:val="21"/>
        </w:rPr>
      </w:pPr>
      <w:bookmarkStart w:id="4" w:name="_Toc451464434"/>
      <w:r>
        <w:rPr>
          <w:rFonts w:hint="eastAsia"/>
          <w:color w:val="000000"/>
          <w:sz w:val="21"/>
          <w:szCs w:val="21"/>
        </w:rPr>
        <w:t>1、建设</w:t>
      </w:r>
      <w:bookmarkEnd w:id="4"/>
      <w:r>
        <w:rPr>
          <w:rFonts w:hint="eastAsia"/>
          <w:color w:val="000000"/>
          <w:sz w:val="21"/>
          <w:szCs w:val="21"/>
        </w:rPr>
        <w:t>要求</w:t>
      </w:r>
    </w:p>
    <w:p w14:paraId="49A12F7B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（1）、在</w:t>
      </w:r>
      <w:r>
        <w:rPr>
          <w:rFonts w:hint="eastAsia" w:ascii="宋体" w:hAnsi="宋体"/>
          <w:lang w:val="en-US" w:eastAsia="zh-CN"/>
        </w:rPr>
        <w:t>幼儿园（门卫室、二楼、三楼班级内）</w:t>
      </w:r>
      <w:r>
        <w:rPr>
          <w:rFonts w:ascii="宋体" w:hAnsi="宋体"/>
        </w:rPr>
        <w:t>安装</w:t>
      </w:r>
      <w:r>
        <w:rPr>
          <w:rFonts w:hint="eastAsia" w:ascii="宋体" w:hAnsi="宋体"/>
          <w:lang w:val="en-US" w:eastAsia="zh-CN"/>
        </w:rPr>
        <w:t>24</w:t>
      </w:r>
      <w:r>
        <w:rPr>
          <w:rFonts w:hint="eastAsia" w:ascii="宋体" w:hAnsi="宋体"/>
        </w:rPr>
        <w:t>台</w:t>
      </w:r>
      <w:r>
        <w:rPr>
          <w:rFonts w:hint="eastAsia" w:ascii="宋体" w:hAnsi="宋体"/>
          <w:lang w:val="en-US" w:eastAsia="zh-CN"/>
        </w:rPr>
        <w:t>4</w:t>
      </w:r>
      <w:r>
        <w:rPr>
          <w:rFonts w:hint="eastAsia" w:ascii="宋体" w:hAnsi="宋体"/>
        </w:rPr>
        <w:t>00万像素高清摄像机。</w:t>
      </w:r>
    </w:p>
    <w:p w14:paraId="3FA95140">
      <w:pPr>
        <w:spacing w:line="360" w:lineRule="auto"/>
        <w:ind w:firstLine="420" w:firstLineChars="200"/>
        <w:rPr>
          <w:rFonts w:ascii="宋体" w:hAnsi="宋体" w:cs="宋体"/>
        </w:rPr>
      </w:pPr>
      <w:r>
        <w:rPr>
          <w:rFonts w:hint="eastAsia" w:ascii="宋体" w:hAnsi="宋体"/>
        </w:rPr>
        <w:t>（2）、</w:t>
      </w:r>
      <w:bookmarkStart w:id="5" w:name="_Toc427678102"/>
      <w:bookmarkStart w:id="6" w:name="_Toc451464451"/>
      <w:bookmarkStart w:id="7" w:name="_Toc451464472"/>
      <w:bookmarkStart w:id="8" w:name="_Ref448911167"/>
      <w:bookmarkStart w:id="9" w:name="_Toc445910080"/>
      <w:bookmarkStart w:id="10" w:name="_Toc433646711"/>
      <w:bookmarkStart w:id="11" w:name="_Ref448911163"/>
      <w:bookmarkStart w:id="12" w:name="_Toc427678480"/>
      <w:bookmarkStart w:id="13" w:name="_Toc427677700"/>
      <w:r>
        <w:rPr>
          <w:rFonts w:hint="eastAsia" w:ascii="宋体" w:hAnsi="宋体"/>
        </w:rPr>
        <w:t>采用</w:t>
      </w:r>
      <w:r>
        <w:rPr>
          <w:rFonts w:hint="eastAsia" w:ascii="宋体" w:hAnsi="宋体" w:cs="Times New Roman"/>
        </w:rPr>
        <w:t>超五类以上非屏蔽线缆</w:t>
      </w:r>
      <w:r>
        <w:rPr>
          <w:rFonts w:hint="eastAsia" w:ascii="宋体" w:hAnsi="宋体"/>
        </w:rPr>
        <w:t>套管布线，要求辅设规范、走线合理及便于后期维护。</w:t>
      </w:r>
    </w:p>
    <w:p w14:paraId="575DF990">
      <w:pPr>
        <w:spacing w:line="360" w:lineRule="auto"/>
        <w:ind w:firstLine="420" w:firstLineChars="200"/>
        <w:rPr>
          <w:rFonts w:ascii="宋体" w:hAnsi="宋体"/>
          <w:color w:val="000000"/>
        </w:rPr>
      </w:pPr>
      <w:r>
        <w:rPr>
          <w:rFonts w:ascii="宋体" w:hAnsi="宋体"/>
        </w:rPr>
        <w:t>（</w:t>
      </w:r>
      <w:r>
        <w:rPr>
          <w:rFonts w:hint="eastAsia" w:ascii="宋体" w:hAnsi="宋体"/>
          <w:lang w:val="en-US" w:eastAsia="zh-CN"/>
        </w:rPr>
        <w:t>3</w:t>
      </w:r>
      <w:r>
        <w:rPr>
          <w:rFonts w:ascii="宋体" w:hAnsi="宋体"/>
        </w:rPr>
        <w:t>）、</w:t>
      </w:r>
      <w:r>
        <w:rPr>
          <w:rFonts w:hint="eastAsia" w:ascii="宋体" w:hAnsi="宋体" w:cs="宋体"/>
        </w:rPr>
        <w:t>监控设备必须具备防雷防漏电保护措施。</w:t>
      </w:r>
    </w:p>
    <w:p w14:paraId="11C3C101">
      <w:pPr>
        <w:spacing w:line="360" w:lineRule="auto"/>
        <w:ind w:firstLine="420" w:firstLineChars="200"/>
        <w:rPr>
          <w:rFonts w:hint="eastAsia" w:ascii="宋体" w:hAnsi="宋体"/>
          <w:color w:val="000000"/>
        </w:rPr>
      </w:pPr>
      <w:r>
        <w:rPr>
          <w:rFonts w:ascii="宋体" w:hAnsi="宋体"/>
        </w:rPr>
        <w:t>（</w:t>
      </w:r>
      <w:r>
        <w:rPr>
          <w:rFonts w:hint="eastAsia" w:ascii="宋体" w:hAnsi="宋体"/>
          <w:lang w:val="en-US" w:eastAsia="zh-CN"/>
        </w:rPr>
        <w:t>4</w:t>
      </w:r>
      <w:r>
        <w:rPr>
          <w:rFonts w:ascii="宋体" w:hAnsi="宋体"/>
        </w:rPr>
        <w:t>）、</w:t>
      </w:r>
      <w:r>
        <w:rPr>
          <w:rFonts w:hint="eastAsia" w:ascii="宋体" w:hAnsi="宋体"/>
          <w:color w:val="000000"/>
        </w:rPr>
        <w:t>主要监控设备设施采购要求国内知名品牌</w:t>
      </w:r>
      <w:r>
        <w:rPr>
          <w:rFonts w:hint="eastAsia" w:ascii="宋体" w:hAnsi="宋体"/>
          <w:color w:val="000000"/>
          <w:lang w:val="en-US" w:eastAsia="zh-CN"/>
        </w:rPr>
        <w:t>与医院监控系统兼容，如出现其它的技术要求所产生的费用一律由施工方负责</w:t>
      </w:r>
      <w:r>
        <w:rPr>
          <w:rFonts w:hint="eastAsia" w:ascii="宋体" w:hAnsi="宋体"/>
          <w:color w:val="000000"/>
        </w:rPr>
        <w:t>。</w:t>
      </w:r>
    </w:p>
    <w:p w14:paraId="13B6C78D">
      <w:pPr>
        <w:rPr>
          <w:rFonts w:hint="eastAsia" w:eastAsia="宋体"/>
          <w:sz w:val="21"/>
          <w:szCs w:val="21"/>
        </w:rPr>
      </w:pPr>
      <w:r>
        <w:rPr>
          <w:rFonts w:hint="eastAsia" w:eastAsia="宋体"/>
          <w:sz w:val="21"/>
          <w:szCs w:val="21"/>
        </w:rPr>
        <w:t>2、设备清单：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253"/>
        <w:gridCol w:w="631"/>
        <w:gridCol w:w="631"/>
        <w:gridCol w:w="5378"/>
      </w:tblGrid>
      <w:tr w14:paraId="750DD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5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幼儿园监控需求</w:t>
            </w:r>
          </w:p>
        </w:tc>
      </w:tr>
      <w:tr w14:paraId="668DD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0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名称及型号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D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72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设备参数</w:t>
            </w:r>
          </w:p>
        </w:tc>
      </w:tr>
      <w:tr w14:paraId="649B9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F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E3F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网络摄像机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44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F43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5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有效像素400万，1/3英寸Progressive Scan CMOS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类别：高清摄像机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存储方式：硬盘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最低照度0.005Lux@（F1.2，AGC ON），0Lux with IR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供网方式：网线                                            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传感器类型 1/2.4" Progressive Scan CMOS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最低照度 彩色：0.005 Lux @（F1.2，AGC ON），0 Lux with IR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快门 1/3 s~1/100,000 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宽动态 120 dB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日夜切换模式 ICR红外滤片式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调节角度 水平：0°~360°，垂直：0°~75°，旋转：0°~360°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焦距&amp;视场角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 mm，水平视场角：104°，垂直视场角：55°，对角视场角：127°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 mm，水平视场角：78°，垂直视场角：38°，对角视场角：96°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mm，水平视场角：50°，垂直视场角：26°，对角视场角：59°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mm，水平视场角：47°，垂直视场角：26°，对角视场角：54°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镜头尺寸 接口M12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光圈类型 固定光圈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最大光圈数 F1.6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补光 补光灯类型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红外灯 补光距离 最远可达30 m 防补光过曝 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支持红外波长范围 850 nm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最大图像尺寸 3200 × 1800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主码流帧率分辨率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 Hz：20 fps（2560 × 1920，2560 × 1440，1920 × 1080，1280 × 720）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子码流帧率分辨率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 Hz：20 fps（1280 × 720，640 × 480，640 × 360）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视频压缩标准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主码流：H.265/H.264 子码流：H.265/H.264/MJPEG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视频压缩码率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 Kbps~16 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H.264编码类型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BaseLine Profile/Main Profile/High Profile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H.265编码类型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Main Profile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Smart264编码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主码流支持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Smart265编码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主码流支持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码率控制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定码率，变码率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SVC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ROI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支持主码流设置1个固定区域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音频压缩标准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G.711ulaw/G.711alaw/G.722.1/G.726/MP2L2/PCM/AAC-LC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音频压缩码率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 Kbps（G.711 ulaw/G.711 alaw）/16 Kbps（G.722.1）/16 Kbps（G.726）/32~160 Kbps（MP2L2）/16~64 Kbps（AAC-LC）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音频采样率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kHz/16 kHz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支持音频环境噪声过滤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网络协议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TCP/IP，ICMP，HTTP，FTP，DHCP，DNS，RTP，RTSP，RTCP，NTP，SMTP，IGMP，QoS，UDP，Bonjour，SSL/TLS，HTTPS，DDNS，UPnP，802.1x，IPv6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同时预览路数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最多6路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接口协议（API）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开放型网络视频接口，ISAPI，SDK，GB28181（2016）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用户管理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最多32个用户，可分3级用户权限管理：管理员，操作员，普通用户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图像设置饱和度，亮度，对比度，锐度，AGC，白平衡通过客户端或者浏览器可调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日夜转换模式自动，白天，夜晚，定时切换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图像增强背光补偿，强光抑制，3D数字降噪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1个RJ45 10 M/100 M自适应以太网口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1个内置麦克风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支持DC12V/POE供电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工作温度和湿度：-30℃~60℃,湿度小于95%(无凝结)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防护等级：IP67                                  </w:t>
            </w:r>
          </w:p>
        </w:tc>
      </w:tr>
      <w:tr w14:paraId="12E79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A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33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硬盘录像机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EBF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4C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1C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16路H.264、H.265网络视频混合输入，接入带宽320Mbps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可对视频画面叠加10行字符，每行可输入22个汉字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可接驳符合ONVIF、RTSP标准及众多主流厂商的网络摄像机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支持报警输入触发一键撤防功能，撤防的报警类型可选（弹出报警画面、声音警告、上传中心、发送邮件、触发报警输出）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支持设置图案密码，用户通过绘制图案来解锁并登录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支持视频摘要回放功能：将不同时间段的多个目标叠加在一个背景上同时回放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支持接入ONVIF协议、RTSP协议、GB/T28181协议的设备，可一键激活并添加局域网内IPC。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支持一键添加IP设备以及一键开启录像功能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支持800W高清网络视频的预览、存储与回放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支持1/8、1/4、1/2、1、2、4、8、16、32等倍速16路同步回放倒放录像，支持录像回放的剪辑和回放截图功能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支持HDMI接口4K超高清显示输出，支持VGA接口高清1080p显示输出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可接入H.265、H.264、MPEG4、SVAC视频编码格式的IPC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支持带有越界、区域入侵、进入/离开区域、人员聚集、快速移动、物品遗留/拿取、停车、徘徊、场景变更、虚焦、音频异常报警、PIR报警功能的网络摄像机接入与相关报警联动功能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支持浓缩播放功能，录像回放中，有移动侦测、外部输入报警、智能侦测等事件发生时，视频按正常速度播放，其他视频自动按高倍速播放，且播放倍速可配置（前端IPC需支持智能侦测功能）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支持将选中通道24小时内的录像文件按时间平均分配至多个窗口进行分时回放，窗口数量可配置，最大16分屏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可按通道、时间方式同时检索16路图片，可正放、倒放1920×1080格式的图片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支持远程零通道预览，使用1路零通道编码视频，预览多通道分割的视频画面，充分获取监控图像信息的同时节省网络传输带宽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支持8T以上容量的SATA接口硬盘；支持硬盘热插拔和休眠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支持2个以太网口，可将2个网口设置不同网段的IP地址，分别接入不同网段IP地址的IPC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支持远程管理IPC功能，支持对前端IPC批量远程升级；支持远程对IPC的参数配置修改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支持定时、移动侦测、报警、移动侦测且报警、智能侦测和手动抓图功能，可进行16路抓拍并存储1080P格式的图片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支持4个以上SATA接口，至少支持2个USB2.0，支持16路报警输入，4路报警输出接口</w:t>
            </w:r>
          </w:p>
        </w:tc>
      </w:tr>
      <w:tr w14:paraId="55A4B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E0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E4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汇聚交换机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22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B5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6A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24个千兆电口，</w:t>
            </w:r>
          </w:p>
          <w:p w14:paraId="73189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交换容量48Gbps，</w:t>
            </w:r>
          </w:p>
          <w:p w14:paraId="58493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包转发率35.7Mpps，</w:t>
            </w:r>
          </w:p>
          <w:p w14:paraId="5B1E4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支持IEEE802.3、IEEE802.3u、IEEE802.3x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支持存储转发交换方式，支持视频红口保障技术，</w:t>
            </w:r>
          </w:p>
          <w:p w14:paraId="73A5D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带IEEE802.3x全双工，背压式流控</w:t>
            </w:r>
          </w:p>
          <w:p w14:paraId="2615D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MAC地址表8K，</w:t>
            </w:r>
          </w:p>
          <w:p w14:paraId="4FAD5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1U铁壳机架式，功耗约20W，带防雷（共模防护7KV），</w:t>
            </w:r>
          </w:p>
          <w:p w14:paraId="530F1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支持802.3az能效以太网EEE，节能环保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采用静音无风扇设计，环保无噪声</w:t>
            </w:r>
          </w:p>
          <w:p w14:paraId="46698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操作温度-10～60</w:t>
            </w:r>
            <w:r>
              <w:rPr>
                <w:rStyle w:val="8"/>
                <w:rFonts w:eastAsia="仿宋"/>
                <w:color w:val="auto"/>
                <w:highlight w:val="none"/>
                <w:lang w:val="en-US" w:eastAsia="zh-CN" w:bidi="ar"/>
              </w:rPr>
              <w:t>˚</w:t>
            </w:r>
            <w:r>
              <w:rPr>
                <w:rStyle w:val="9"/>
                <w:color w:val="auto"/>
                <w:highlight w:val="none"/>
                <w:lang w:val="en-US" w:eastAsia="zh-CN" w:bidi="ar"/>
              </w:rPr>
              <w:t>C，存储温度-40～85</w:t>
            </w:r>
            <w:r>
              <w:rPr>
                <w:rStyle w:val="8"/>
                <w:rFonts w:eastAsia="仿宋"/>
                <w:color w:val="auto"/>
                <w:highlight w:val="none"/>
                <w:lang w:val="en-US" w:eastAsia="zh-CN" w:bidi="ar"/>
              </w:rPr>
              <w:t>˚</w:t>
            </w:r>
            <w:r>
              <w:rPr>
                <w:rStyle w:val="9"/>
                <w:color w:val="auto"/>
                <w:highlight w:val="none"/>
                <w:lang w:val="en-US" w:eastAsia="zh-CN" w:bidi="ar"/>
              </w:rPr>
              <w:t>C，相对湿度5～95%</w:t>
            </w:r>
            <w:r>
              <w:rPr>
                <w:rStyle w:val="9"/>
                <w:rFonts w:hint="eastAsia"/>
                <w:color w:val="auto"/>
                <w:highlight w:val="none"/>
                <w:lang w:val="en-US" w:eastAsia="zh-CN" w:bidi="ar"/>
              </w:rPr>
              <w:t>,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支持交直流供电</w:t>
            </w:r>
          </w:p>
          <w:p w14:paraId="040D0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采用专业的内置防雷技术，支持10KV业务端口防雷能力。</w:t>
            </w:r>
          </w:p>
        </w:tc>
      </w:tr>
      <w:tr w14:paraId="7166D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0A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EC6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POE交换机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73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789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3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支持IEEE802.3、IEEE802.3u、IEEE802.3x</w:t>
            </w:r>
            <w:bookmarkStart w:id="14" w:name="_GoBack"/>
            <w:bookmarkEnd w:id="14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支持存储转发交换方式，支持视频红口保障技术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RJ45，全/半双工，MDI/MDI-X自适应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16个10∕100∕1000Base-T以太网端口，16个端口支持PoE+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带IEEE802.3x全双工，背压式流控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MAC地址表8K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交换容量36Gbps，包转发率26.8Mpps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支持802.3az能效以太网EEE，节能环保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采用静音无风扇设计，环保无噪声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静电抗扰度(ESD)： 接触放电：±7KV ，空气放电：±9KV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浪涌抗扰度(Surge)：电源端口：线-地±2KV，线-线1KV，网络端口：线-地±4KV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电快速瞬变脉冲群(EFT)：电源端口：±2KV，网络端口：±1KV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操作温度-10～60</w:t>
            </w:r>
            <w:r>
              <w:rPr>
                <w:rStyle w:val="8"/>
                <w:rFonts w:eastAsia="仿宋"/>
                <w:lang w:val="en-US" w:eastAsia="zh-CN" w:bidi="ar"/>
              </w:rPr>
              <w:t>˚</w:t>
            </w:r>
            <w:r>
              <w:rPr>
                <w:rStyle w:val="9"/>
                <w:lang w:val="en-US" w:eastAsia="zh-CN" w:bidi="ar"/>
              </w:rPr>
              <w:t>C，存储温度-40～85</w:t>
            </w:r>
            <w:r>
              <w:rPr>
                <w:rStyle w:val="8"/>
                <w:rFonts w:eastAsia="仿宋"/>
                <w:lang w:val="en-US" w:eastAsia="zh-CN" w:bidi="ar"/>
              </w:rPr>
              <w:t>˚</w:t>
            </w:r>
            <w:r>
              <w:rPr>
                <w:rStyle w:val="9"/>
                <w:lang w:val="en-US" w:eastAsia="zh-CN" w:bidi="ar"/>
              </w:rPr>
              <w:t>C，相对湿度5～95%（无凝露）</w:t>
            </w:r>
            <w:r>
              <w:rPr>
                <w:rStyle w:val="9"/>
                <w:lang w:val="en-US" w:eastAsia="zh-CN" w:bidi="ar"/>
              </w:rPr>
              <w:br w:type="textWrapping"/>
            </w:r>
            <w:r>
              <w:rPr>
                <w:rStyle w:val="9"/>
                <w:lang w:val="en-US" w:eastAsia="zh-CN" w:bidi="ar"/>
              </w:rPr>
              <w:t>PoE供电标准：IEEE</w:t>
            </w:r>
            <w:r>
              <w:rPr>
                <w:rStyle w:val="10"/>
                <w:rFonts w:eastAsia="仿宋"/>
                <w:lang w:val="en-US" w:eastAsia="zh-CN" w:bidi="ar"/>
              </w:rPr>
              <w:t xml:space="preserve"> </w:t>
            </w:r>
            <w:r>
              <w:rPr>
                <w:rStyle w:val="9"/>
                <w:lang w:val="en-US" w:eastAsia="zh-CN" w:bidi="ar"/>
              </w:rPr>
              <w:t>802.3af、IEEE802.3at</w:t>
            </w:r>
          </w:p>
        </w:tc>
      </w:tr>
      <w:tr w14:paraId="5754E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B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29A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网线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4A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78D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9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超五类或六类</w:t>
            </w:r>
          </w:p>
        </w:tc>
      </w:tr>
      <w:tr w14:paraId="1EF2B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9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48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57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95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200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57D1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1A1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0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EBD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辅材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CE1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3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3C4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AABDE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7BF32F0">
      <w:pPr>
        <w:rPr>
          <w:rFonts w:hint="eastAsia" w:eastAsia="宋体"/>
          <w:sz w:val="21"/>
          <w:szCs w:val="21"/>
        </w:rPr>
      </w:pPr>
    </w:p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6FA998A0">
      <w:pPr>
        <w:spacing w:line="500" w:lineRule="exact"/>
        <w:rPr>
          <w:rFonts w:ascii="宋体" w:hAnsi="宋体"/>
          <w:b/>
        </w:rPr>
      </w:pPr>
      <w:r>
        <w:rPr>
          <w:rFonts w:hint="eastAsia" w:ascii="宋体" w:hAnsi="宋体" w:cs="宋体"/>
          <w:b/>
        </w:rPr>
        <w:t>五、其它要求</w:t>
      </w:r>
    </w:p>
    <w:p w14:paraId="43213915">
      <w:pPr>
        <w:spacing w:line="500" w:lineRule="exact"/>
        <w:rPr>
          <w:rFonts w:ascii="宋体" w:hAnsi="宋体"/>
        </w:rPr>
      </w:pPr>
      <w:r>
        <w:rPr>
          <w:rFonts w:ascii="宋体" w:hAnsi="宋体"/>
        </w:rPr>
        <w:t>1.</w:t>
      </w:r>
      <w:r>
        <w:rPr>
          <w:rFonts w:hint="eastAsia" w:ascii="宋体" w:hAnsi="宋体" w:cs="宋体"/>
        </w:rPr>
        <w:t>投标人必须承诺提供厂商原装、全新的、符合国家及用户提出的有关质量标准的设备。</w:t>
      </w:r>
    </w:p>
    <w:p w14:paraId="6EB6DD96">
      <w:pPr>
        <w:spacing w:line="500" w:lineRule="exact"/>
        <w:rPr>
          <w:rFonts w:ascii="宋体" w:hAnsi="宋体"/>
        </w:rPr>
      </w:pPr>
      <w:r>
        <w:rPr>
          <w:rFonts w:ascii="宋体" w:hAnsi="宋体"/>
        </w:rPr>
        <w:t>2.</w:t>
      </w:r>
      <w:r>
        <w:rPr>
          <w:rFonts w:hint="eastAsia" w:ascii="宋体" w:hAnsi="宋体" w:cs="宋体"/>
        </w:rPr>
        <w:t>项目需求中如有列出的指标参数仅起参考作用。所建议的设备的性能应达到或超过参考指标表中所列技术指标。投标人应注意该表的值仅列出了最低限度。</w:t>
      </w:r>
    </w:p>
    <w:p w14:paraId="2F1E23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0145B8"/>
    <w:multiLevelType w:val="multilevel"/>
    <w:tmpl w:val="1A0145B8"/>
    <w:lvl w:ilvl="0" w:tentative="0">
      <w:start w:val="1"/>
      <w:numFmt w:val="bullet"/>
      <w:pStyle w:val="7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  <w:color w:val="000080"/>
        <w:sz w:val="15"/>
        <w:szCs w:val="15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56A05"/>
    <w:rsid w:val="1609105D"/>
    <w:rsid w:val="19203996"/>
    <w:rsid w:val="1ABD2416"/>
    <w:rsid w:val="1E1A5A9D"/>
    <w:rsid w:val="311F752F"/>
    <w:rsid w:val="31EA18EB"/>
    <w:rsid w:val="3C8251B9"/>
    <w:rsid w:val="4C017B05"/>
    <w:rsid w:val="5CEC5C83"/>
    <w:rsid w:val="5E575CCA"/>
    <w:rsid w:val="65091AAC"/>
    <w:rsid w:val="66355C8C"/>
    <w:rsid w:val="66D52D1B"/>
    <w:rsid w:val="67955879"/>
    <w:rsid w:val="67EB234C"/>
    <w:rsid w:val="6AA54025"/>
    <w:rsid w:val="702E686B"/>
    <w:rsid w:val="73334198"/>
    <w:rsid w:val="7467234B"/>
    <w:rsid w:val="7B8E4662"/>
    <w:rsid w:val="7BCB7664"/>
    <w:rsid w:val="7E461224"/>
    <w:rsid w:val="7E83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340" w:lineRule="exact"/>
      <w:outlineLvl w:val="1"/>
    </w:pPr>
    <w:rPr>
      <w:rFonts w:ascii="宋体" w:hAnsi="宋体" w:eastAsia="黑体" w:cs="Times New Roman"/>
      <w:b/>
      <w:bCs/>
      <w:sz w:val="24"/>
      <w:szCs w:val="24"/>
    </w:rPr>
  </w:style>
  <w:style w:type="paragraph" w:styleId="3">
    <w:name w:val="heading 3"/>
    <w:basedOn w:val="1"/>
    <w:next w:val="1"/>
    <w:qFormat/>
    <w:uiPriority w:val="0"/>
    <w:pPr>
      <w:tabs>
        <w:tab w:val="left" w:pos="900"/>
      </w:tabs>
      <w:snapToGrid w:val="0"/>
      <w:spacing w:line="340" w:lineRule="exact"/>
      <w:jc w:val="left"/>
      <w:outlineLvl w:val="2"/>
    </w:pPr>
    <w:rPr>
      <w:rFonts w:ascii="宋体" w:hAnsi="宋体"/>
      <w:b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*正文"/>
    <w:basedOn w:val="1"/>
    <w:qFormat/>
    <w:uiPriority w:val="0"/>
    <w:pPr>
      <w:spacing w:line="360" w:lineRule="auto"/>
      <w:ind w:firstLine="200" w:firstLineChars="200"/>
    </w:pPr>
    <w:rPr>
      <w:rFonts w:ascii="宋体" w:hAnsi="宋体" w:cs="Times New Roman"/>
      <w:sz w:val="24"/>
      <w:szCs w:val="20"/>
    </w:rPr>
  </w:style>
  <w:style w:type="paragraph" w:customStyle="1" w:styleId="7">
    <w:name w:val="Item List in Table"/>
    <w:basedOn w:val="1"/>
    <w:qFormat/>
    <w:uiPriority w:val="0"/>
    <w:pPr>
      <w:numPr>
        <w:ilvl w:val="0"/>
        <w:numId w:val="1"/>
      </w:numPr>
      <w:jc w:val="left"/>
    </w:pPr>
    <w:rPr>
      <w:rFonts w:ascii="Times New Roman" w:hAnsi="Times New Roman" w:cs="Times New Roman"/>
      <w:kern w:val="2"/>
      <w:szCs w:val="24"/>
    </w:rPr>
  </w:style>
  <w:style w:type="character" w:customStyle="1" w:styleId="8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61"/>
    <w:basedOn w:val="5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0">
    <w:name w:val="font81"/>
    <w:basedOn w:val="5"/>
    <w:qFormat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901</Words>
  <Characters>1048</Characters>
  <Lines>0</Lines>
  <Paragraphs>0</Paragraphs>
  <TotalTime>8</TotalTime>
  <ScaleCrop>false</ScaleCrop>
  <LinksUpToDate>false</LinksUpToDate>
  <CharactersWithSpaces>1052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2024-12-27T02:14:00Z</dcterms:created>
  <dc:creator>admin</dc:creator>
  <cp:lastModifiedBy>牛东</cp:lastModifiedBy>
  <dcterms:modified xsi:type="dcterms:W3CDTF">2026-09-16T07:33:13Z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eyJoZGlkIjoiOTY0NjU2MDViZGFhNTc0ODgwZmQxNjlhZGNmODg3OTYiLCJ1c2VySWQiOiI5MTMzMzEyOTkifQ==</vt:lpwstr>
  </property>
  <property fmtid="{D5CDD505-2E9C-101B-9397-08002B2CF9AE}" pid="4" name="ICV">
    <vt:lpwstr>5804B9AF70414A42AB5FB5B13631B277_12</vt:lpwstr>
  </property>
</Properties>
</file>